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FD68B" w14:textId="77777777" w:rsidR="00B45EAB" w:rsidRPr="003D1360" w:rsidRDefault="00B45EAB" w:rsidP="00B45EA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86825D" w14:textId="77777777" w:rsidR="00B45EAB" w:rsidRPr="003D1360" w:rsidRDefault="00B45EAB" w:rsidP="00B45EA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136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1128C49B" wp14:editId="640B3B56">
            <wp:simplePos x="0" y="0"/>
            <wp:positionH relativeFrom="margin">
              <wp:align>center</wp:align>
            </wp:positionH>
            <wp:positionV relativeFrom="paragraph">
              <wp:posOffset>9269</wp:posOffset>
            </wp:positionV>
            <wp:extent cx="457200" cy="571500"/>
            <wp:effectExtent l="0" t="0" r="0" b="0"/>
            <wp:wrapSquare wrapText="right"/>
            <wp:docPr id="2" name="Picture 2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H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6A4E4" w14:textId="4B3B3C1E" w:rsidR="00B45EAB" w:rsidRPr="003D1360" w:rsidRDefault="00B45EAB" w:rsidP="005F0E0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7E2364" w14:textId="77777777" w:rsidR="005F0E0C" w:rsidRPr="003D1360" w:rsidRDefault="005F0E0C" w:rsidP="005F0E0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20B165" w14:textId="02FD1BFB" w:rsidR="00B45EAB" w:rsidRPr="003D1360" w:rsidRDefault="00FE1A18" w:rsidP="00B45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1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MINISTARSTVO FINANCIJA</w:t>
      </w:r>
    </w:p>
    <w:p w14:paraId="22423F1E" w14:textId="77777777" w:rsidR="00B45EAB" w:rsidRPr="003D1360" w:rsidRDefault="00B45EAB" w:rsidP="00B45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7C2A0D" w14:textId="77777777" w:rsidR="00B45EAB" w:rsidRPr="003D1360" w:rsidRDefault="00B45EAB" w:rsidP="00B45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1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</w:t>
      </w:r>
      <w:r w:rsidRPr="003D1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D1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D1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D1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D1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D1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D1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D1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D1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D1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D1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506631DA" w14:textId="77777777" w:rsidR="00B45EAB" w:rsidRPr="003D1360" w:rsidRDefault="00B45EAB" w:rsidP="00B45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935F12" w14:textId="77777777" w:rsidR="00B45EAB" w:rsidRPr="003D1360" w:rsidRDefault="00B45EAB" w:rsidP="00B45EA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B31E70" w14:textId="386B4660" w:rsidR="00B45EAB" w:rsidRPr="003D1360" w:rsidRDefault="00B45EAB" w:rsidP="00B45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77B3A2" w14:textId="5BEE56FE" w:rsidR="005F0E0C" w:rsidRPr="003D1360" w:rsidRDefault="005F0E0C" w:rsidP="00B45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FDA7AE" w14:textId="4D4F5950" w:rsidR="005F0E0C" w:rsidRPr="003D1360" w:rsidRDefault="005F0E0C" w:rsidP="00B45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A393EA" w14:textId="77777777" w:rsidR="00B45EAB" w:rsidRPr="003D1360" w:rsidRDefault="00B45EAB" w:rsidP="00B45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88E4966" w14:textId="41E53CC0" w:rsidR="00B45EAB" w:rsidRPr="003D1360" w:rsidRDefault="00B45EAB" w:rsidP="005F0E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1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AKCIJSK</w:t>
      </w:r>
      <w:r w:rsidR="00FE1A18" w:rsidRPr="003D1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302E6B" w:rsidRPr="003D1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PLAN FORUMA ZA PODRŠKU ODRŽIVOM FINANCIRANJU ZA 2025. </w:t>
      </w:r>
      <w:r w:rsidR="005C5899" w:rsidRPr="003D1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 2026. </w:t>
      </w:r>
      <w:r w:rsidR="00302E6B" w:rsidRPr="003D1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GODINU</w:t>
      </w:r>
    </w:p>
    <w:p w14:paraId="35A2BCCD" w14:textId="77777777" w:rsidR="00B45EAB" w:rsidRPr="003D1360" w:rsidRDefault="00B45EAB" w:rsidP="00B45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31C9C8" w14:textId="77777777" w:rsidR="00B45EAB" w:rsidRPr="003D1360" w:rsidRDefault="00B45EAB" w:rsidP="00B45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16D82B" w14:textId="77777777" w:rsidR="00B45EAB" w:rsidRPr="003D1360" w:rsidRDefault="00B45EAB" w:rsidP="00B45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6FD3A5" w14:textId="77777777" w:rsidR="00B45EAB" w:rsidRPr="003D1360" w:rsidRDefault="00B45EAB" w:rsidP="00B45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033CE23" w14:textId="3F654003" w:rsidR="005F0E0C" w:rsidRPr="003D1360" w:rsidRDefault="005F0E0C" w:rsidP="00B45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FF358A" w14:textId="4CB35C49" w:rsidR="005F0E0C" w:rsidRPr="003D1360" w:rsidRDefault="005F0E0C" w:rsidP="00B45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E83B88" w14:textId="77777777" w:rsidR="005F0E0C" w:rsidRPr="003D1360" w:rsidRDefault="005F0E0C" w:rsidP="00B45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E7423B" w14:textId="1A6BF0FF" w:rsidR="005F0E0C" w:rsidRPr="003D1360" w:rsidRDefault="005F0E0C" w:rsidP="00B45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093457" w14:textId="31D8B1CB" w:rsidR="005F0E0C" w:rsidRPr="003D1360" w:rsidRDefault="005F0E0C" w:rsidP="00B45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2977C3" w14:textId="4F39C8E5" w:rsidR="005F0E0C" w:rsidRPr="003D1360" w:rsidRDefault="005F0E0C" w:rsidP="00B45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DCDA5F" w14:textId="77777777" w:rsidR="005F0E0C" w:rsidRPr="003D1360" w:rsidRDefault="005F0E0C" w:rsidP="00B45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F546B7D" w14:textId="1A31D159" w:rsidR="005F0E0C" w:rsidRPr="003D1360" w:rsidRDefault="005F0E0C" w:rsidP="002D600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97CE0C" w14:textId="4EE57CCE" w:rsidR="005F0E0C" w:rsidRPr="003D1360" w:rsidRDefault="005F0E0C" w:rsidP="00B45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3BCA0C" w14:textId="58CA0E53" w:rsidR="005F0E0C" w:rsidRPr="003D1360" w:rsidRDefault="005F0E0C" w:rsidP="00B45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1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Zagreb, </w:t>
      </w:r>
      <w:r w:rsidR="00E213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ožujak</w:t>
      </w:r>
      <w:r w:rsidRPr="003D1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2025.</w:t>
      </w:r>
    </w:p>
    <w:p w14:paraId="378391DF" w14:textId="4083A75C" w:rsidR="00C27B24" w:rsidRDefault="00C27B24" w:rsidP="002D600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C27B24" w:rsidSect="00FB1E82">
          <w:footerReference w:type="default" r:id="rId10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13F6D6F" w14:textId="78643649" w:rsidR="00587B16" w:rsidRPr="003D1360" w:rsidRDefault="00587B16" w:rsidP="002D600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B76541" w14:textId="0257D861" w:rsidR="003E69E3" w:rsidRPr="003D1360" w:rsidRDefault="005F0E0C" w:rsidP="003E69E3">
      <w:pPr>
        <w:pStyle w:val="Odlomakpopisa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60">
        <w:rPr>
          <w:rFonts w:ascii="Times New Roman" w:hAnsi="Times New Roman" w:cs="Times New Roman"/>
          <w:b/>
          <w:sz w:val="24"/>
          <w:szCs w:val="24"/>
        </w:rPr>
        <w:t>UVOD</w:t>
      </w:r>
    </w:p>
    <w:p w14:paraId="28A821C9" w14:textId="6ADDAFCC" w:rsidR="003E69E3" w:rsidRPr="003D1360" w:rsidRDefault="003E69E3" w:rsidP="002D60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 xml:space="preserve">Europska unija i njezine države članice potpisale su </w:t>
      </w:r>
      <w:r w:rsidR="007B77EA" w:rsidRPr="003D1360">
        <w:rPr>
          <w:rFonts w:ascii="Times New Roman" w:hAnsi="Times New Roman" w:cs="Times New Roman"/>
          <w:sz w:val="24"/>
          <w:szCs w:val="24"/>
        </w:rPr>
        <w:t xml:space="preserve">2015. </w:t>
      </w:r>
      <w:r w:rsidRPr="003D1360">
        <w:rPr>
          <w:rFonts w:ascii="Times New Roman" w:hAnsi="Times New Roman" w:cs="Times New Roman"/>
          <w:b/>
          <w:i/>
          <w:sz w:val="24"/>
          <w:szCs w:val="24"/>
        </w:rPr>
        <w:t>Pariški sporazum</w:t>
      </w:r>
      <w:r w:rsidRPr="003D1360">
        <w:rPr>
          <w:rFonts w:ascii="Times New Roman" w:hAnsi="Times New Roman" w:cs="Times New Roman"/>
          <w:sz w:val="24"/>
          <w:szCs w:val="24"/>
        </w:rPr>
        <w:t xml:space="preserve"> s ciljem jačanja globalnog odgovora na prijetnje klimatskih promjena. </w:t>
      </w:r>
      <w:r w:rsidR="00BA02B2" w:rsidRPr="003D1360">
        <w:rPr>
          <w:rFonts w:ascii="Times New Roman" w:hAnsi="Times New Roman" w:cs="Times New Roman"/>
          <w:sz w:val="24"/>
          <w:szCs w:val="24"/>
        </w:rPr>
        <w:t xml:space="preserve">Pariški sporazum </w:t>
      </w:r>
      <w:r w:rsidR="004E27D7" w:rsidRPr="003D1360">
        <w:rPr>
          <w:rFonts w:ascii="Times New Roman" w:hAnsi="Times New Roman" w:cs="Times New Roman"/>
          <w:sz w:val="24"/>
          <w:szCs w:val="24"/>
        </w:rPr>
        <w:t xml:space="preserve">(u daljnjem tekstu: Sporazum) </w:t>
      </w:r>
      <w:r w:rsidR="00BA02B2" w:rsidRPr="003D1360">
        <w:rPr>
          <w:rFonts w:ascii="Times New Roman" w:hAnsi="Times New Roman" w:cs="Times New Roman"/>
          <w:sz w:val="24"/>
          <w:szCs w:val="24"/>
        </w:rPr>
        <w:t>predstavlja prvi globalni klimatski sporazum usmjeren na prilagodbu i jačanje otpornosti na klimatske promjene te ograničenje globalnog zatopljenja na znatno ispod 2</w:t>
      </w:r>
      <w:r w:rsidR="004E27D7" w:rsidRPr="003D1360">
        <w:rPr>
          <w:rFonts w:ascii="Times New Roman" w:hAnsi="Times New Roman" w:cs="Times New Roman"/>
          <w:sz w:val="24"/>
          <w:szCs w:val="24"/>
        </w:rPr>
        <w:t>º</w:t>
      </w:r>
      <w:r w:rsidR="00BA02B2" w:rsidRPr="003D1360">
        <w:rPr>
          <w:rFonts w:ascii="Times New Roman" w:hAnsi="Times New Roman" w:cs="Times New Roman"/>
          <w:sz w:val="24"/>
          <w:szCs w:val="24"/>
        </w:rPr>
        <w:t xml:space="preserve">C </w:t>
      </w:r>
      <w:r w:rsidR="004E27D7" w:rsidRPr="003D1360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BA02B2" w:rsidRPr="003D1360">
        <w:rPr>
          <w:rFonts w:ascii="Times New Roman" w:hAnsi="Times New Roman" w:cs="Times New Roman"/>
          <w:sz w:val="24"/>
          <w:szCs w:val="24"/>
        </w:rPr>
        <w:t>pred</w:t>
      </w:r>
      <w:r w:rsidR="004E27D7" w:rsidRPr="003D1360">
        <w:rPr>
          <w:rFonts w:ascii="Times New Roman" w:hAnsi="Times New Roman" w:cs="Times New Roman"/>
          <w:sz w:val="24"/>
          <w:szCs w:val="24"/>
        </w:rPr>
        <w:t>industrijske razine</w:t>
      </w:r>
      <w:r w:rsidR="00BA02B2" w:rsidRPr="003D1360">
        <w:rPr>
          <w:rFonts w:ascii="Times New Roman" w:hAnsi="Times New Roman" w:cs="Times New Roman"/>
          <w:sz w:val="24"/>
          <w:szCs w:val="24"/>
        </w:rPr>
        <w:t xml:space="preserve">. </w:t>
      </w:r>
      <w:r w:rsidRPr="003D1360">
        <w:rPr>
          <w:rFonts w:ascii="Times New Roman" w:hAnsi="Times New Roman" w:cs="Times New Roman"/>
          <w:sz w:val="24"/>
          <w:szCs w:val="24"/>
        </w:rPr>
        <w:t xml:space="preserve">Jedan od ciljeva </w:t>
      </w:r>
      <w:r w:rsidR="004E27D7" w:rsidRPr="003D1360">
        <w:rPr>
          <w:rFonts w:ascii="Times New Roman" w:hAnsi="Times New Roman" w:cs="Times New Roman"/>
          <w:sz w:val="24"/>
          <w:szCs w:val="24"/>
        </w:rPr>
        <w:t>S</w:t>
      </w:r>
      <w:r w:rsidRPr="003D1360">
        <w:rPr>
          <w:rFonts w:ascii="Times New Roman" w:hAnsi="Times New Roman" w:cs="Times New Roman"/>
          <w:sz w:val="24"/>
          <w:szCs w:val="24"/>
        </w:rPr>
        <w:t>porazuma je uskladiti financijske tokove s naporima za postizanje niskih emisija stakleničkih plinova te razvoj otpornosti na klimatske promjene. Posljedice klimatskih promjena nisu ograničene samo na ekonomski učinak ekstremnijih vremenskih uvjeta ili podizanje razine mora (</w:t>
      </w:r>
      <w:r w:rsidR="00B41FF2" w:rsidRPr="003D1360">
        <w:rPr>
          <w:rFonts w:ascii="Times New Roman" w:hAnsi="Times New Roman" w:cs="Times New Roman"/>
          <w:sz w:val="24"/>
          <w:szCs w:val="24"/>
        </w:rPr>
        <w:t>tzv.</w:t>
      </w:r>
      <w:r w:rsidRPr="003D1360">
        <w:rPr>
          <w:rFonts w:ascii="Times New Roman" w:hAnsi="Times New Roman" w:cs="Times New Roman"/>
          <w:sz w:val="24"/>
          <w:szCs w:val="24"/>
        </w:rPr>
        <w:t xml:space="preserve"> „fizički rizici”), već obuhvaćaju i rizik od gubitka vrijednosti ulaganja uslijed promjena u politici, tehnologiji i pravnim okvirima koji su povezani s naporima u borbi protiv klimatskih promjena (tzv. „tranzicijski rizi</w:t>
      </w:r>
      <w:r w:rsidR="00F309A3" w:rsidRPr="003D1360">
        <w:rPr>
          <w:rFonts w:ascii="Times New Roman" w:hAnsi="Times New Roman" w:cs="Times New Roman"/>
          <w:sz w:val="24"/>
          <w:szCs w:val="24"/>
        </w:rPr>
        <w:t>ci</w:t>
      </w:r>
      <w:r w:rsidRPr="003D1360">
        <w:rPr>
          <w:rFonts w:ascii="Times New Roman" w:hAnsi="Times New Roman" w:cs="Times New Roman"/>
          <w:sz w:val="24"/>
          <w:szCs w:val="24"/>
        </w:rPr>
        <w:t>”).</w:t>
      </w:r>
    </w:p>
    <w:p w14:paraId="678D9E9B" w14:textId="0DB82B8A" w:rsidR="00160DAD" w:rsidRPr="003D1360" w:rsidRDefault="00B41FF2" w:rsidP="00160D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 xml:space="preserve">Europska komisija objavila </w:t>
      </w:r>
      <w:r w:rsidR="00F309A3" w:rsidRPr="003D1360">
        <w:rPr>
          <w:rFonts w:ascii="Times New Roman" w:hAnsi="Times New Roman" w:cs="Times New Roman"/>
          <w:sz w:val="24"/>
          <w:szCs w:val="24"/>
        </w:rPr>
        <w:t xml:space="preserve">je </w:t>
      </w:r>
      <w:r w:rsidR="00D47358" w:rsidRPr="003D1360">
        <w:rPr>
          <w:rFonts w:ascii="Times New Roman" w:hAnsi="Times New Roman" w:cs="Times New Roman"/>
          <w:sz w:val="24"/>
          <w:szCs w:val="24"/>
        </w:rPr>
        <w:t>2018.</w:t>
      </w:r>
      <w:r w:rsidR="00F309A3" w:rsidRPr="003D1360">
        <w:rPr>
          <w:rFonts w:ascii="Times New Roman" w:hAnsi="Times New Roman" w:cs="Times New Roman"/>
          <w:sz w:val="24"/>
          <w:szCs w:val="24"/>
        </w:rPr>
        <w:t xml:space="preserve"> g.</w:t>
      </w:r>
      <w:r w:rsidR="00BE2665" w:rsidRPr="003D1360">
        <w:rPr>
          <w:rFonts w:ascii="Times New Roman" w:hAnsi="Times New Roman" w:cs="Times New Roman"/>
          <w:sz w:val="24"/>
          <w:szCs w:val="24"/>
        </w:rPr>
        <w:t xml:space="preserve"> Komunikaciju pod nazivom</w:t>
      </w:r>
      <w:r w:rsidR="00F309A3" w:rsidRPr="003D1360">
        <w:rPr>
          <w:rFonts w:ascii="Times New Roman" w:hAnsi="Times New Roman" w:cs="Times New Roman"/>
          <w:sz w:val="24"/>
          <w:szCs w:val="24"/>
        </w:rPr>
        <w:t xml:space="preserve"> </w:t>
      </w:r>
      <w:r w:rsidRPr="003D1360">
        <w:rPr>
          <w:rFonts w:ascii="Times New Roman" w:hAnsi="Times New Roman" w:cs="Times New Roman"/>
          <w:b/>
          <w:i/>
          <w:sz w:val="24"/>
          <w:szCs w:val="24"/>
        </w:rPr>
        <w:t xml:space="preserve">Akcijski plan </w:t>
      </w:r>
      <w:r w:rsidR="00D47358" w:rsidRPr="003D1360">
        <w:rPr>
          <w:rFonts w:ascii="Times New Roman" w:hAnsi="Times New Roman" w:cs="Times New Roman"/>
          <w:b/>
          <w:i/>
          <w:sz w:val="24"/>
          <w:szCs w:val="24"/>
        </w:rPr>
        <w:t>o financiranju održivog rasta</w:t>
      </w:r>
      <w:r w:rsidRPr="003D1360">
        <w:rPr>
          <w:rStyle w:val="Referencafusnote"/>
          <w:rFonts w:ascii="Times New Roman" w:hAnsi="Times New Roman" w:cs="Times New Roman"/>
          <w:i/>
          <w:sz w:val="24"/>
          <w:szCs w:val="24"/>
        </w:rPr>
        <w:footnoteReference w:id="1"/>
      </w:r>
      <w:r w:rsidR="003604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E2665" w:rsidRPr="003D1360">
        <w:rPr>
          <w:rFonts w:ascii="Times New Roman" w:hAnsi="Times New Roman" w:cs="Times New Roman"/>
          <w:sz w:val="24"/>
          <w:szCs w:val="24"/>
        </w:rPr>
        <w:t>kojim započinje provedba ambiciozne i sveobuhvatne strategije održivog financiranja, a k</w:t>
      </w:r>
      <w:r w:rsidRPr="003D1360">
        <w:rPr>
          <w:rFonts w:ascii="Times New Roman" w:hAnsi="Times New Roman" w:cs="Times New Roman"/>
          <w:sz w:val="24"/>
          <w:szCs w:val="24"/>
        </w:rPr>
        <w:t xml:space="preserve">oji uključuje aktivnosti za preusmjeravanje privatnog financiranja na održiva ulaganja, upravljanje financijskim rizicima povezanima s klimatskim promjenama i poboljšanje održivog korporativnog upravljanja u privatnom sektoru. </w:t>
      </w:r>
      <w:r w:rsidR="00160DAD" w:rsidRPr="003D1360">
        <w:rPr>
          <w:rFonts w:ascii="Times New Roman" w:hAnsi="Times New Roman" w:cs="Times New Roman"/>
          <w:sz w:val="24"/>
          <w:szCs w:val="24"/>
        </w:rPr>
        <w:t xml:space="preserve">U predmetnom dokumentu utvrđene su mjere za ostvarenje sljedećih ciljeva: </w:t>
      </w:r>
    </w:p>
    <w:p w14:paraId="38FBC168" w14:textId="77777777" w:rsidR="00160DAD" w:rsidRPr="003D1360" w:rsidRDefault="00160DAD" w:rsidP="00160DAD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 xml:space="preserve">preusmjeravanje tokova kapitala prema održivim ulaganjima radi ostvarivanja održivog i </w:t>
      </w:r>
      <w:proofErr w:type="spellStart"/>
      <w:r w:rsidRPr="003D1360">
        <w:rPr>
          <w:rFonts w:ascii="Times New Roman" w:hAnsi="Times New Roman" w:cs="Times New Roman"/>
          <w:sz w:val="24"/>
          <w:szCs w:val="24"/>
        </w:rPr>
        <w:t>uključivog</w:t>
      </w:r>
      <w:proofErr w:type="spellEnd"/>
      <w:r w:rsidRPr="003D1360">
        <w:rPr>
          <w:rFonts w:ascii="Times New Roman" w:hAnsi="Times New Roman" w:cs="Times New Roman"/>
          <w:sz w:val="24"/>
          <w:szCs w:val="24"/>
        </w:rPr>
        <w:t xml:space="preserve"> rasta, </w:t>
      </w:r>
    </w:p>
    <w:p w14:paraId="29A22247" w14:textId="5D8D67C3" w:rsidR="00160DAD" w:rsidRPr="003D1360" w:rsidRDefault="00160DAD" w:rsidP="00160DAD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 xml:space="preserve">upravljanje financijskim rizicima koji proizlaze iz klimatskih promjena, iscrpljivanja resursa, uništavanja okoliša </w:t>
      </w:r>
      <w:r w:rsidR="004A3D35" w:rsidRPr="003D1360">
        <w:rPr>
          <w:rFonts w:ascii="Times New Roman" w:hAnsi="Times New Roman" w:cs="Times New Roman"/>
          <w:sz w:val="24"/>
          <w:szCs w:val="24"/>
        </w:rPr>
        <w:t xml:space="preserve">i </w:t>
      </w:r>
      <w:r w:rsidR="00BA02B2" w:rsidRPr="003D1360">
        <w:rPr>
          <w:rFonts w:ascii="Times New Roman" w:hAnsi="Times New Roman" w:cs="Times New Roman"/>
          <w:sz w:val="24"/>
          <w:szCs w:val="24"/>
        </w:rPr>
        <w:t>društvenih</w:t>
      </w:r>
      <w:r w:rsidR="004A3D35" w:rsidRPr="003D1360">
        <w:rPr>
          <w:rFonts w:ascii="Times New Roman" w:hAnsi="Times New Roman" w:cs="Times New Roman"/>
          <w:sz w:val="24"/>
          <w:szCs w:val="24"/>
        </w:rPr>
        <w:t xml:space="preserve"> pitanja</w:t>
      </w:r>
      <w:r w:rsidR="00360438">
        <w:rPr>
          <w:rFonts w:ascii="Times New Roman" w:hAnsi="Times New Roman" w:cs="Times New Roman"/>
          <w:sz w:val="24"/>
          <w:szCs w:val="24"/>
        </w:rPr>
        <w:t>,</w:t>
      </w:r>
    </w:p>
    <w:p w14:paraId="35C1F587" w14:textId="65B7CB36" w:rsidR="007D24BB" w:rsidRPr="003D1360" w:rsidRDefault="00160DAD" w:rsidP="00160DAD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>te poticanje transparentnosti i dugoročnosti u financijskim i gospodarskim djelatnostima.</w:t>
      </w:r>
    </w:p>
    <w:p w14:paraId="13711BBA" w14:textId="552F2F04" w:rsidR="007D24BB" w:rsidRPr="003D1360" w:rsidRDefault="007E18A7" w:rsidP="007D24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 xml:space="preserve">Također, </w:t>
      </w:r>
      <w:r w:rsidR="007D24BB" w:rsidRPr="003D1360">
        <w:rPr>
          <w:rFonts w:ascii="Times New Roman" w:hAnsi="Times New Roman" w:cs="Times New Roman"/>
          <w:sz w:val="24"/>
          <w:szCs w:val="24"/>
        </w:rPr>
        <w:t>Europska komisija</w:t>
      </w:r>
      <w:r w:rsidR="00F309A3" w:rsidRPr="003D1360">
        <w:rPr>
          <w:rFonts w:ascii="Times New Roman" w:hAnsi="Times New Roman" w:cs="Times New Roman"/>
          <w:sz w:val="24"/>
          <w:szCs w:val="24"/>
        </w:rPr>
        <w:t xml:space="preserve"> je</w:t>
      </w:r>
      <w:r w:rsidRPr="003D1360">
        <w:rPr>
          <w:rFonts w:ascii="Times New Roman" w:hAnsi="Times New Roman" w:cs="Times New Roman"/>
          <w:sz w:val="24"/>
          <w:szCs w:val="24"/>
        </w:rPr>
        <w:t xml:space="preserve"> 2019.</w:t>
      </w:r>
      <w:r w:rsidR="00F309A3" w:rsidRPr="003D1360">
        <w:rPr>
          <w:rFonts w:ascii="Times New Roman" w:hAnsi="Times New Roman" w:cs="Times New Roman"/>
          <w:sz w:val="24"/>
          <w:szCs w:val="24"/>
        </w:rPr>
        <w:t xml:space="preserve"> g. predstavila </w:t>
      </w:r>
      <w:r w:rsidR="00D47358" w:rsidRPr="003D1360">
        <w:rPr>
          <w:rFonts w:ascii="Times New Roman" w:hAnsi="Times New Roman" w:cs="Times New Roman"/>
          <w:sz w:val="24"/>
          <w:szCs w:val="24"/>
        </w:rPr>
        <w:t xml:space="preserve"> </w:t>
      </w:r>
      <w:r w:rsidR="007D24BB" w:rsidRPr="003D1360">
        <w:rPr>
          <w:rFonts w:ascii="Times New Roman" w:hAnsi="Times New Roman" w:cs="Times New Roman"/>
          <w:b/>
          <w:i/>
          <w:sz w:val="24"/>
          <w:szCs w:val="24"/>
        </w:rPr>
        <w:t>Europski zeleni plan</w:t>
      </w:r>
      <w:r w:rsidR="00160DAD" w:rsidRPr="003D1360">
        <w:rPr>
          <w:rStyle w:val="Referencafusnote"/>
          <w:rFonts w:ascii="Times New Roman" w:hAnsi="Times New Roman" w:cs="Times New Roman"/>
          <w:b/>
          <w:i/>
          <w:sz w:val="24"/>
          <w:szCs w:val="24"/>
        </w:rPr>
        <w:footnoteReference w:id="2"/>
      </w:r>
      <w:r w:rsidR="007D24BB" w:rsidRPr="008E1373">
        <w:rPr>
          <w:rFonts w:ascii="Times New Roman" w:hAnsi="Times New Roman" w:cs="Times New Roman"/>
          <w:sz w:val="24"/>
          <w:szCs w:val="24"/>
        </w:rPr>
        <w:t>,</w:t>
      </w:r>
      <w:r w:rsidR="007D24BB" w:rsidRPr="003D1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1360">
        <w:rPr>
          <w:rFonts w:ascii="Times New Roman" w:hAnsi="Times New Roman" w:cs="Times New Roman"/>
          <w:sz w:val="24"/>
          <w:szCs w:val="24"/>
        </w:rPr>
        <w:t>paket inicijativa iz područja klime, okoliša, energetike, prometa, industrije, poljoprivrede i održivog financiranja. Provedba ovog ambicioznog plana traži značajan angažman svih sektora gospodarstva, a posebice financijskog sektora.</w:t>
      </w:r>
      <w:r w:rsidR="00D47358" w:rsidRPr="003D1360">
        <w:rPr>
          <w:rFonts w:ascii="Times New Roman" w:hAnsi="Times New Roman" w:cs="Times New Roman"/>
          <w:sz w:val="24"/>
          <w:szCs w:val="24"/>
        </w:rPr>
        <w:t xml:space="preserve"> </w:t>
      </w:r>
      <w:r w:rsidR="00160DAD" w:rsidRPr="003D1360">
        <w:rPr>
          <w:rFonts w:ascii="Times New Roman" w:hAnsi="Times New Roman" w:cs="Times New Roman"/>
          <w:sz w:val="24"/>
          <w:szCs w:val="24"/>
        </w:rPr>
        <w:t>Stoga,</w:t>
      </w:r>
      <w:r w:rsidR="00D47358" w:rsidRPr="003D1360">
        <w:rPr>
          <w:rFonts w:ascii="Times New Roman" w:hAnsi="Times New Roman" w:cs="Times New Roman"/>
          <w:sz w:val="24"/>
          <w:szCs w:val="24"/>
        </w:rPr>
        <w:t xml:space="preserve"> </w:t>
      </w:r>
      <w:r w:rsidR="00160DAD" w:rsidRPr="003D1360">
        <w:rPr>
          <w:rFonts w:ascii="Times New Roman" w:hAnsi="Times New Roman" w:cs="Times New Roman"/>
          <w:sz w:val="24"/>
          <w:szCs w:val="24"/>
        </w:rPr>
        <w:t>n</w:t>
      </w:r>
      <w:r w:rsidR="007D24BB" w:rsidRPr="003D1360">
        <w:rPr>
          <w:rFonts w:ascii="Times New Roman" w:hAnsi="Times New Roman" w:cs="Times New Roman"/>
          <w:sz w:val="24"/>
          <w:szCs w:val="24"/>
        </w:rPr>
        <w:t>a razini Europske unije postavljen je cilj da Europa postane prvi klimatski neutralan kontinent do 2050.</w:t>
      </w:r>
      <w:r w:rsidR="004E27D7" w:rsidRPr="003D1360">
        <w:rPr>
          <w:rFonts w:ascii="Times New Roman" w:hAnsi="Times New Roman" w:cs="Times New Roman"/>
          <w:sz w:val="24"/>
          <w:szCs w:val="24"/>
        </w:rPr>
        <w:t xml:space="preserve">, kao i </w:t>
      </w:r>
      <w:r w:rsidR="007D24BB" w:rsidRPr="003D1360">
        <w:rPr>
          <w:rFonts w:ascii="Times New Roman" w:hAnsi="Times New Roman" w:cs="Times New Roman"/>
          <w:sz w:val="24"/>
          <w:szCs w:val="24"/>
        </w:rPr>
        <w:t>da do 2030. smanji emisije sta</w:t>
      </w:r>
      <w:r w:rsidR="0031374C">
        <w:rPr>
          <w:rFonts w:ascii="Times New Roman" w:hAnsi="Times New Roman" w:cs="Times New Roman"/>
          <w:sz w:val="24"/>
          <w:szCs w:val="24"/>
        </w:rPr>
        <w:t>kleničkih plinova za najmanje 55</w:t>
      </w:r>
      <w:r w:rsidR="007D24BB" w:rsidRPr="003D1360">
        <w:rPr>
          <w:rFonts w:ascii="Times New Roman" w:hAnsi="Times New Roman" w:cs="Times New Roman"/>
          <w:sz w:val="24"/>
          <w:szCs w:val="24"/>
        </w:rPr>
        <w:t>% u odnosu na</w:t>
      </w:r>
      <w:r w:rsidR="004E27D7" w:rsidRPr="003D1360">
        <w:rPr>
          <w:rFonts w:ascii="Times New Roman" w:hAnsi="Times New Roman" w:cs="Times New Roman"/>
          <w:sz w:val="24"/>
          <w:szCs w:val="24"/>
        </w:rPr>
        <w:t xml:space="preserve"> razine iz</w:t>
      </w:r>
      <w:r w:rsidR="007D24BB" w:rsidRPr="003D1360">
        <w:rPr>
          <w:rFonts w:ascii="Times New Roman" w:hAnsi="Times New Roman" w:cs="Times New Roman"/>
          <w:sz w:val="24"/>
          <w:szCs w:val="24"/>
        </w:rPr>
        <w:t xml:space="preserve"> 1990</w:t>
      </w:r>
      <w:r w:rsidR="00BA02B2" w:rsidRPr="003D1360">
        <w:rPr>
          <w:rFonts w:ascii="Times New Roman" w:hAnsi="Times New Roman" w:cs="Times New Roman"/>
          <w:sz w:val="24"/>
          <w:szCs w:val="24"/>
        </w:rPr>
        <w:t>.</w:t>
      </w:r>
      <w:r w:rsidR="004E27D7" w:rsidRPr="003D1360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678D67DB" w14:textId="52DF84D8" w:rsidR="00E42DAC" w:rsidRPr="003D1360" w:rsidRDefault="00E42DAC" w:rsidP="00FE44AC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Upravo u skladu </w:t>
      </w:r>
      <w:r w:rsidR="00E91D32"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</w:t>
      </w:r>
      <w:r w:rsidRPr="003D136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Akcijskom planom o fi</w:t>
      </w:r>
      <w:r w:rsidR="00160DAD" w:rsidRPr="003D136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nanciranju održivog rasta</w:t>
      </w:r>
      <w:r w:rsidR="00160DAD"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2018</w:t>
      </w:r>
      <w:r w:rsidR="004E27D7"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60DAD"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>, na razini Europske unije</w:t>
      </w:r>
      <w:r w:rsidR="00FE5C94"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doneseni </w:t>
      </w:r>
      <w:r w:rsidR="00160DAD"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propisi koji uređuju koncept održivog financiranja</w:t>
      </w:r>
      <w:r w:rsidR="00E91D32"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 tako između ostaloga i:</w:t>
      </w:r>
    </w:p>
    <w:p w14:paraId="36D61B0B" w14:textId="6F11FFFC" w:rsidR="00E42DAC" w:rsidRPr="003D1360" w:rsidRDefault="00E42DAC" w:rsidP="00160DAD">
      <w:pPr>
        <w:pStyle w:val="Odlomakpopis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3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Uredba (EU) 2019/2088</w:t>
      </w:r>
      <w:r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Europskog parlamenta i Vijeća od 27. studenoga 2019. o objavama povezanim s održivosti u sektoru financijskih usluga (</w:t>
      </w:r>
      <w:r w:rsidR="004E27D7"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</w:t>
      </w:r>
      <w:r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>: SFDR Uredba)</w:t>
      </w:r>
      <w:r w:rsidR="00160DAD" w:rsidRPr="003D1360">
        <w:rPr>
          <w:rStyle w:val="Referencafusnote"/>
          <w:rFonts w:ascii="Times New Roman" w:eastAsia="Times New Roman" w:hAnsi="Times New Roman" w:cs="Times New Roman"/>
          <w:sz w:val="24"/>
          <w:szCs w:val="24"/>
          <w:lang w:eastAsia="hr-HR"/>
        </w:rPr>
        <w:footnoteReference w:id="3"/>
      </w:r>
      <w:r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B77EA"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koja uređuje način na koji sudionici na financijskim tržištima i financijski savjetnici trebaju objavljivati informacije o održivosti krajnjim </w:t>
      </w:r>
      <w:proofErr w:type="spellStart"/>
      <w:r w:rsidR="007B77EA"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>ulagateljima</w:t>
      </w:r>
      <w:proofErr w:type="spellEnd"/>
      <w:r w:rsidR="007B77EA"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vlasnicima imovine.</w:t>
      </w:r>
    </w:p>
    <w:p w14:paraId="4ED850B5" w14:textId="40B7D620" w:rsidR="00E42DAC" w:rsidRPr="003D1360" w:rsidRDefault="00E42DAC" w:rsidP="00160DAD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3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Uredba (EU) 2020/852</w:t>
      </w:r>
      <w:r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Europskog parlamenta i Vijeća od 18. lipnja 2020. o uspostavi okvira za olakšavanje održivih ulaganja i izmjeni Uredbe (EU) 2019/2088 (</w:t>
      </w:r>
      <w:r w:rsidR="004E27D7"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tekstu:</w:t>
      </w:r>
      <w:r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Uredba o taksonomiji)</w:t>
      </w:r>
      <w:r w:rsidR="00160DAD" w:rsidRPr="003D1360">
        <w:rPr>
          <w:rStyle w:val="Referencafusnote"/>
          <w:rFonts w:ascii="Times New Roman" w:eastAsia="Times New Roman" w:hAnsi="Times New Roman" w:cs="Times New Roman"/>
          <w:sz w:val="24"/>
          <w:szCs w:val="24"/>
          <w:lang w:eastAsia="hr-HR"/>
        </w:rPr>
        <w:footnoteReference w:id="4"/>
      </w:r>
      <w:r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60DAD"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se stvara sustav klasifikacije okolišno održivih gospodarskih djelatnosti s ciljem povećanja održivih ulaganja i borbe protiv manipulativnog zelenog marketinga financijskih proizvoda za koje se neopravdano tvrdi da su održivi.</w:t>
      </w:r>
    </w:p>
    <w:p w14:paraId="5354D2F4" w14:textId="04CBC1EE" w:rsidR="00E42DAC" w:rsidRPr="003D1360" w:rsidRDefault="00E42DAC" w:rsidP="002D600E">
      <w:pPr>
        <w:pStyle w:val="StandardWeb"/>
        <w:numPr>
          <w:ilvl w:val="0"/>
          <w:numId w:val="15"/>
        </w:numPr>
        <w:spacing w:after="0" w:afterAutospacing="0" w:line="276" w:lineRule="auto"/>
        <w:jc w:val="both"/>
      </w:pPr>
      <w:r w:rsidRPr="003D1360">
        <w:rPr>
          <w:b/>
        </w:rPr>
        <w:t xml:space="preserve">Direktiva </w:t>
      </w:r>
      <w:r w:rsidR="00160DAD" w:rsidRPr="003D1360">
        <w:rPr>
          <w:b/>
        </w:rPr>
        <w:t>(EU) 2022/2464</w:t>
      </w:r>
      <w:r w:rsidR="00160DAD" w:rsidRPr="003D1360">
        <w:t xml:space="preserve"> </w:t>
      </w:r>
      <w:r w:rsidRPr="003D1360">
        <w:t>Europskog parlamenta i Vijeća o izmjeni Direktive 2013/34/EU, Direktive 2004/109/EZ, Direktive 2006/43/EZ i Uredbe (EU) br. 537/ u pogledu korporativnog izvješ</w:t>
      </w:r>
      <w:r w:rsidR="007B77EA" w:rsidRPr="003D1360">
        <w:t>tavanja</w:t>
      </w:r>
      <w:r w:rsidRPr="003D1360">
        <w:t xml:space="preserve"> o održivosti (</w:t>
      </w:r>
      <w:r w:rsidR="004E27D7" w:rsidRPr="003D1360">
        <w:t>u daljnjem tekstu:</w:t>
      </w:r>
      <w:r w:rsidR="00160DAD" w:rsidRPr="003D1360">
        <w:t xml:space="preserve"> CSRD Direktiva</w:t>
      </w:r>
      <w:r w:rsidRPr="003D1360">
        <w:t>)</w:t>
      </w:r>
      <w:r w:rsidR="00160DAD" w:rsidRPr="003D1360">
        <w:rPr>
          <w:rStyle w:val="Referencafusnote"/>
        </w:rPr>
        <w:footnoteReference w:id="5"/>
      </w:r>
      <w:r w:rsidR="00160DAD" w:rsidRPr="003D1360">
        <w:t xml:space="preserve"> </w:t>
      </w:r>
      <w:r w:rsidR="007B77EA" w:rsidRPr="003D1360">
        <w:t>kojom se uređuje obveza izrade i objave izvještaja o održivosti.</w:t>
      </w:r>
    </w:p>
    <w:p w14:paraId="75397D40" w14:textId="77777777" w:rsidR="00E30726" w:rsidRPr="003D1360" w:rsidRDefault="00E30726" w:rsidP="00E30726">
      <w:pPr>
        <w:pStyle w:val="StandardWeb"/>
        <w:spacing w:after="0" w:afterAutospacing="0" w:line="276" w:lineRule="auto"/>
        <w:ind w:left="360"/>
        <w:jc w:val="both"/>
      </w:pPr>
    </w:p>
    <w:p w14:paraId="6BC8B0D9" w14:textId="4E7C29AE" w:rsidR="002D600E" w:rsidRPr="003D1360" w:rsidRDefault="00E30726" w:rsidP="00E30726">
      <w:pPr>
        <w:pStyle w:val="StandardWeb"/>
        <w:spacing w:after="0" w:afterAutospacing="0" w:line="276" w:lineRule="auto"/>
        <w:ind w:left="360"/>
        <w:jc w:val="center"/>
      </w:pPr>
      <w:r w:rsidRPr="003D1360">
        <w:rPr>
          <w:noProof/>
        </w:rPr>
        <w:drawing>
          <wp:inline distT="0" distB="0" distL="0" distR="0" wp14:anchorId="64D31AA4" wp14:editId="4FFABA75">
            <wp:extent cx="5420106" cy="2318919"/>
            <wp:effectExtent l="0" t="0" r="0" b="5715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053" cy="2342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57E263" w14:textId="77777777" w:rsidR="00E30726" w:rsidRPr="003D1360" w:rsidRDefault="00E30726" w:rsidP="002D600E">
      <w:pPr>
        <w:pStyle w:val="StandardWeb"/>
        <w:spacing w:after="0" w:afterAutospacing="0" w:line="276" w:lineRule="auto"/>
        <w:ind w:left="360"/>
        <w:jc w:val="both"/>
      </w:pPr>
    </w:p>
    <w:p w14:paraId="759A914A" w14:textId="49D3786D" w:rsidR="00E42DAC" w:rsidRPr="003D1360" w:rsidRDefault="002D600E" w:rsidP="002D600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60">
        <w:rPr>
          <w:rFonts w:ascii="Times New Roman" w:hAnsi="Times New Roman" w:cs="Times New Roman"/>
          <w:b/>
          <w:sz w:val="24"/>
          <w:szCs w:val="24"/>
        </w:rPr>
        <w:t>2. OSNIVANJE FORUMA ZA PODRŠKU ODRŽIVOG FINANCIRANJA</w:t>
      </w:r>
    </w:p>
    <w:p w14:paraId="1198994A" w14:textId="536CE9BC" w:rsidR="007B59B0" w:rsidRPr="003D1360" w:rsidRDefault="007B59B0" w:rsidP="00FE44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>Iz svega gore navedenog, jasno je da se pred hrvatski financijski sustav i gospodarstvo u cjelini stavljaju veliki zahtjevi u pogledu usvajanja</w:t>
      </w:r>
      <w:r w:rsidR="004E27D7" w:rsidRPr="003D1360">
        <w:rPr>
          <w:rFonts w:ascii="Times New Roman" w:hAnsi="Times New Roman" w:cs="Times New Roman"/>
          <w:sz w:val="24"/>
          <w:szCs w:val="24"/>
        </w:rPr>
        <w:t xml:space="preserve"> i primjene</w:t>
      </w:r>
      <w:r w:rsidRPr="003D1360">
        <w:rPr>
          <w:rFonts w:ascii="Times New Roman" w:hAnsi="Times New Roman" w:cs="Times New Roman"/>
          <w:sz w:val="24"/>
          <w:szCs w:val="24"/>
        </w:rPr>
        <w:t xml:space="preserve"> novih koncepata povezanih s </w:t>
      </w:r>
      <w:r w:rsidR="0095527B" w:rsidRPr="003D1360">
        <w:rPr>
          <w:rFonts w:ascii="Times New Roman" w:hAnsi="Times New Roman" w:cs="Times New Roman"/>
          <w:sz w:val="24"/>
          <w:szCs w:val="24"/>
        </w:rPr>
        <w:t>održivosti.</w:t>
      </w:r>
    </w:p>
    <w:p w14:paraId="318D4D5C" w14:textId="3D856EE9" w:rsidR="00587B16" w:rsidRPr="003D1360" w:rsidRDefault="00E42DAC" w:rsidP="00FE44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 xml:space="preserve">Kako bi pružila pomoć financijskom i realnom sektoru </w:t>
      </w:r>
      <w:r w:rsidR="002D3151" w:rsidRPr="003D1360">
        <w:rPr>
          <w:rFonts w:ascii="Times New Roman" w:hAnsi="Times New Roman" w:cs="Times New Roman"/>
          <w:sz w:val="24"/>
          <w:szCs w:val="24"/>
        </w:rPr>
        <w:t xml:space="preserve">pri prelasku na održivo gospodarstvo, </w:t>
      </w:r>
      <w:r w:rsidRPr="003D1360">
        <w:rPr>
          <w:rFonts w:ascii="Times New Roman" w:hAnsi="Times New Roman" w:cs="Times New Roman"/>
          <w:sz w:val="24"/>
          <w:szCs w:val="24"/>
        </w:rPr>
        <w:t>V</w:t>
      </w:r>
      <w:r w:rsidR="00587B16" w:rsidRPr="003D1360">
        <w:rPr>
          <w:rFonts w:ascii="Times New Roman" w:hAnsi="Times New Roman" w:cs="Times New Roman"/>
          <w:sz w:val="24"/>
          <w:szCs w:val="24"/>
        </w:rPr>
        <w:t xml:space="preserve">lada Republike Hrvatske je na sjednici </w:t>
      </w:r>
      <w:r w:rsidR="004E27D7" w:rsidRPr="003D1360">
        <w:rPr>
          <w:rFonts w:ascii="Times New Roman" w:hAnsi="Times New Roman" w:cs="Times New Roman"/>
          <w:sz w:val="24"/>
          <w:szCs w:val="24"/>
        </w:rPr>
        <w:t xml:space="preserve">održanoj </w:t>
      </w:r>
      <w:r w:rsidR="00587B16" w:rsidRPr="003D1360">
        <w:rPr>
          <w:rFonts w:ascii="Times New Roman" w:hAnsi="Times New Roman" w:cs="Times New Roman"/>
          <w:sz w:val="24"/>
          <w:szCs w:val="24"/>
        </w:rPr>
        <w:t xml:space="preserve">21. prosinca 2023. </w:t>
      </w:r>
      <w:r w:rsidR="004E27D7" w:rsidRPr="003D1360">
        <w:rPr>
          <w:rFonts w:ascii="Times New Roman" w:hAnsi="Times New Roman" w:cs="Times New Roman"/>
          <w:sz w:val="24"/>
          <w:szCs w:val="24"/>
        </w:rPr>
        <w:t xml:space="preserve">donijela </w:t>
      </w:r>
      <w:r w:rsidR="00587B16" w:rsidRPr="003D1360">
        <w:rPr>
          <w:rFonts w:ascii="Times New Roman" w:hAnsi="Times New Roman" w:cs="Times New Roman"/>
          <w:sz w:val="24"/>
          <w:szCs w:val="24"/>
        </w:rPr>
        <w:t>Zaključak (</w:t>
      </w:r>
      <w:r w:rsidR="00BA02B2" w:rsidRPr="003D1360">
        <w:rPr>
          <w:rFonts w:ascii="Times New Roman" w:eastAsia="Calibri" w:hAnsi="Times New Roman" w:cs="Times New Roman"/>
          <w:sz w:val="24"/>
          <w:szCs w:val="24"/>
        </w:rPr>
        <w:t>„Narodne novine“, br</w:t>
      </w:r>
      <w:r w:rsidR="004E27D7" w:rsidRPr="003D1360">
        <w:rPr>
          <w:rFonts w:ascii="Times New Roman" w:eastAsia="Calibri" w:hAnsi="Times New Roman" w:cs="Times New Roman"/>
          <w:sz w:val="24"/>
          <w:szCs w:val="24"/>
        </w:rPr>
        <w:t>oj</w:t>
      </w:r>
      <w:r w:rsidR="00BA02B2" w:rsidRPr="003D1360">
        <w:rPr>
          <w:rFonts w:ascii="Times New Roman" w:eastAsia="Calibri" w:hAnsi="Times New Roman" w:cs="Times New Roman"/>
          <w:sz w:val="24"/>
          <w:szCs w:val="24"/>
        </w:rPr>
        <w:t xml:space="preserve"> 155/23.)</w:t>
      </w:r>
      <w:r w:rsidR="00587B16" w:rsidRPr="003D1360">
        <w:rPr>
          <w:rFonts w:ascii="Times New Roman" w:hAnsi="Times New Roman" w:cs="Times New Roman"/>
          <w:sz w:val="24"/>
          <w:szCs w:val="24"/>
        </w:rPr>
        <w:t xml:space="preserve"> kojim je uspostavila zajedničku platformu pod nazivom </w:t>
      </w:r>
      <w:r w:rsidR="00587B16" w:rsidRPr="003D1360">
        <w:rPr>
          <w:rFonts w:ascii="Times New Roman" w:hAnsi="Times New Roman" w:cs="Times New Roman"/>
          <w:b/>
          <w:i/>
          <w:sz w:val="24"/>
          <w:szCs w:val="24"/>
        </w:rPr>
        <w:t>Forum za podršku održivom financiranju</w:t>
      </w:r>
      <w:r w:rsidR="00587B16" w:rsidRPr="003D1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B16" w:rsidRPr="003D1360">
        <w:rPr>
          <w:rFonts w:ascii="Times New Roman" w:hAnsi="Times New Roman" w:cs="Times New Roman"/>
          <w:sz w:val="24"/>
          <w:szCs w:val="24"/>
        </w:rPr>
        <w:t xml:space="preserve">(u daljnjem tekstu: Forum).  </w:t>
      </w:r>
    </w:p>
    <w:p w14:paraId="14DD8C4E" w14:textId="4C0AA039" w:rsidR="00587B16" w:rsidRPr="003D1360" w:rsidRDefault="00587B16" w:rsidP="00FE44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 xml:space="preserve">Forum predstavlja jedinstvenu točku za razmjenu informacija, uz koordinaciju svih ključnih dionika, s ciljem pružanja podrške financijskom sektoru Republike Hrvatske prilikom financiranja tranzicije na održivo gospodarstvo, kao i usklađivanja s regulatornim zahtjevima, kako za financijski sektor tako i </w:t>
      </w:r>
      <w:r w:rsidR="004E27D7" w:rsidRPr="003D1360">
        <w:rPr>
          <w:rFonts w:ascii="Times New Roman" w:hAnsi="Times New Roman" w:cs="Times New Roman"/>
          <w:sz w:val="24"/>
          <w:szCs w:val="24"/>
        </w:rPr>
        <w:t>gospodarstvu u cjelini</w:t>
      </w:r>
      <w:r w:rsidR="0095527B" w:rsidRPr="003D1360">
        <w:rPr>
          <w:rFonts w:ascii="Times New Roman" w:hAnsi="Times New Roman" w:cs="Times New Roman"/>
          <w:sz w:val="24"/>
          <w:szCs w:val="24"/>
        </w:rPr>
        <w:t xml:space="preserve">. </w:t>
      </w:r>
      <w:r w:rsidRPr="003D1360">
        <w:rPr>
          <w:rFonts w:ascii="Times New Roman" w:hAnsi="Times New Roman" w:cs="Times New Roman"/>
          <w:sz w:val="24"/>
          <w:szCs w:val="24"/>
        </w:rPr>
        <w:t xml:space="preserve">Odlukom </w:t>
      </w:r>
      <w:r w:rsidR="00E91D32" w:rsidRPr="003D1360">
        <w:rPr>
          <w:rFonts w:ascii="Times New Roman" w:hAnsi="Times New Roman" w:cs="Times New Roman"/>
          <w:sz w:val="24"/>
          <w:szCs w:val="24"/>
        </w:rPr>
        <w:t xml:space="preserve">ministra financija </w:t>
      </w:r>
      <w:r w:rsidR="0095527B" w:rsidRPr="003D1360">
        <w:rPr>
          <w:rFonts w:ascii="Times New Roman" w:hAnsi="Times New Roman" w:cs="Times New Roman"/>
          <w:sz w:val="24"/>
          <w:szCs w:val="24"/>
        </w:rPr>
        <w:t xml:space="preserve">imenovani </w:t>
      </w:r>
      <w:r w:rsidRPr="003D1360">
        <w:rPr>
          <w:rFonts w:ascii="Times New Roman" w:hAnsi="Times New Roman" w:cs="Times New Roman"/>
          <w:sz w:val="24"/>
          <w:szCs w:val="24"/>
        </w:rPr>
        <w:t xml:space="preserve">su članovi Foruma, a Ministarstvo financija koordinira njegov rad.  </w:t>
      </w:r>
    </w:p>
    <w:p w14:paraId="24C9FB77" w14:textId="2DA02245" w:rsidR="00C34AF0" w:rsidRPr="003D1360" w:rsidRDefault="00587B16" w:rsidP="00C34A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lastRenderedPageBreak/>
        <w:t xml:space="preserve">Zbog svog značaja, uspostava Foruma uključena je u Dodatak Nacionalnom planu oporavka i otpornosti kao reformska mjera u okviru poglavlja C1.1.1. </w:t>
      </w:r>
      <w:r w:rsidRPr="003D1360">
        <w:rPr>
          <w:rFonts w:ascii="Times New Roman" w:hAnsi="Times New Roman" w:cs="Times New Roman"/>
          <w:i/>
          <w:sz w:val="24"/>
          <w:szCs w:val="24"/>
        </w:rPr>
        <w:t xml:space="preserve">Jačanje konkurentnosti i zelena tranzicija gospodarstva.  </w:t>
      </w:r>
    </w:p>
    <w:p w14:paraId="6B045DED" w14:textId="11B1E856" w:rsidR="00C34AF0" w:rsidRPr="003D1360" w:rsidRDefault="00C34AF0" w:rsidP="00C34AF0">
      <w:pPr>
        <w:pStyle w:val="StandardWeb"/>
        <w:spacing w:line="276" w:lineRule="auto"/>
        <w:jc w:val="both"/>
      </w:pPr>
      <w:r w:rsidRPr="003D1360">
        <w:t xml:space="preserve">Jedna od ključnih sastavnica okvira za održivo financiranje jest uvođenje obveze izvještavanja o održivosti, čime će se, između ostalog, osigurati potrebni podaci za donošenje informiranih odluka o održivim ulaganjima. Transparentnost kroz objavu relevantnih, usporedivih i pouzdanih informacija o održivosti koje će poduzetnici pružati predstavlja temelj za usmjeravanje financijskih tokova prema održivim aktivnostima i projektima. Upravo je osiguranje takvih informacija jedan od ključnih ciljeva donošenja </w:t>
      </w:r>
      <w:r w:rsidRPr="003D1360">
        <w:rPr>
          <w:rStyle w:val="Naglaeno"/>
        </w:rPr>
        <w:t>CSRD Direktive</w:t>
      </w:r>
      <w:r w:rsidRPr="003D1360">
        <w:t xml:space="preserve"> koja uvodi strože zahtjeve za izvješta</w:t>
      </w:r>
      <w:r w:rsidR="00254D3D">
        <w:t xml:space="preserve">vanjem o održivosti. </w:t>
      </w:r>
      <w:r w:rsidRPr="003D1360">
        <w:t xml:space="preserve">CSRD Direktiva ne samo da postavlja standardizirani okvir za izvještavanje, već i jača odgovornost poduzetnika prema okolišnim, društvenim i upravljačkim aspektima poslovanja. Time se stvara nužna osnova za izgradnju povjerenja među ulagačima, financijskim institucijama i široj javnosti, što je ključno za postizanje ciljeva Europskog zelenog plana i prelazak na održivo gospodarstvo. U konačnici, objavljivanje informacija </w:t>
      </w:r>
      <w:r w:rsidR="00E91D32" w:rsidRPr="003D1360">
        <w:t xml:space="preserve">o održivosti </w:t>
      </w:r>
      <w:r w:rsidRPr="003D1360">
        <w:t xml:space="preserve">doprinijet </w:t>
      </w:r>
      <w:r w:rsidR="00E91D32" w:rsidRPr="003D1360">
        <w:t xml:space="preserve">će </w:t>
      </w:r>
      <w:r w:rsidRPr="003D1360">
        <w:t>boljem razumijevanju utjecaja poslovnih aktivnosti na okoliš i društvo</w:t>
      </w:r>
      <w:r w:rsidR="00E91D32" w:rsidRPr="003D1360">
        <w:t>,</w:t>
      </w:r>
      <w:r w:rsidRPr="003D1360">
        <w:t xml:space="preserve"> te će potaknuti odgovorno poslovanje.</w:t>
      </w:r>
    </w:p>
    <w:p w14:paraId="789899C4" w14:textId="4CC78B00" w:rsidR="00587B16" w:rsidRPr="003D1360" w:rsidRDefault="004E27D7" w:rsidP="00FE44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 xml:space="preserve">Kako bi se na sustavan način provodile aktivnosti i mjere kojima je cilj dati potrebnu podršku financijskom sektoru i gospodarstvu u cjelini, u tu se </w:t>
      </w:r>
      <w:r w:rsidR="00587B16" w:rsidRPr="003D1360">
        <w:rPr>
          <w:rFonts w:ascii="Times New Roman" w:hAnsi="Times New Roman" w:cs="Times New Roman"/>
          <w:sz w:val="24"/>
          <w:szCs w:val="24"/>
        </w:rPr>
        <w:t xml:space="preserve">svrhu donosi </w:t>
      </w:r>
      <w:r w:rsidR="00E91D32" w:rsidRPr="003D1360">
        <w:rPr>
          <w:rFonts w:ascii="Times New Roman" w:hAnsi="Times New Roman" w:cs="Times New Roman"/>
          <w:sz w:val="24"/>
          <w:szCs w:val="24"/>
        </w:rPr>
        <w:t xml:space="preserve">se </w:t>
      </w:r>
      <w:r w:rsidR="00587B16" w:rsidRPr="003D1360">
        <w:rPr>
          <w:rFonts w:ascii="Times New Roman" w:hAnsi="Times New Roman" w:cs="Times New Roman"/>
          <w:sz w:val="24"/>
          <w:szCs w:val="24"/>
        </w:rPr>
        <w:t>Akcijski plan za 2025.</w:t>
      </w:r>
      <w:r w:rsidRPr="003D1360">
        <w:rPr>
          <w:rFonts w:ascii="Times New Roman" w:hAnsi="Times New Roman" w:cs="Times New Roman"/>
          <w:sz w:val="24"/>
          <w:szCs w:val="24"/>
        </w:rPr>
        <w:t xml:space="preserve"> i</w:t>
      </w:r>
      <w:r w:rsidR="00254D3D">
        <w:rPr>
          <w:rFonts w:ascii="Times New Roman" w:hAnsi="Times New Roman" w:cs="Times New Roman"/>
          <w:sz w:val="24"/>
          <w:szCs w:val="24"/>
        </w:rPr>
        <w:t xml:space="preserve"> </w:t>
      </w:r>
      <w:r w:rsidR="00587B16" w:rsidRPr="003D1360">
        <w:rPr>
          <w:rFonts w:ascii="Times New Roman" w:hAnsi="Times New Roman" w:cs="Times New Roman"/>
          <w:sz w:val="24"/>
          <w:szCs w:val="24"/>
        </w:rPr>
        <w:t>2026.</w:t>
      </w:r>
      <w:r w:rsidRPr="003D1360">
        <w:rPr>
          <w:rFonts w:ascii="Times New Roman" w:hAnsi="Times New Roman" w:cs="Times New Roman"/>
          <w:sz w:val="24"/>
          <w:szCs w:val="24"/>
        </w:rPr>
        <w:t xml:space="preserve"> godinu (u daljnjem tekstu: Akcijski plan), kako bi se i na ovaj način pridonijelo tranziciji </w:t>
      </w:r>
      <w:r w:rsidR="00587B16" w:rsidRPr="003D1360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="00C34AF0" w:rsidRPr="003D1360">
        <w:rPr>
          <w:rFonts w:ascii="Times New Roman" w:hAnsi="Times New Roman" w:cs="Times New Roman"/>
          <w:sz w:val="24"/>
          <w:szCs w:val="24"/>
        </w:rPr>
        <w:t>na održivo gospodarstvo</w:t>
      </w:r>
      <w:r w:rsidR="00E91D32" w:rsidRPr="003D1360">
        <w:rPr>
          <w:rFonts w:ascii="Times New Roman" w:hAnsi="Times New Roman" w:cs="Times New Roman"/>
          <w:sz w:val="24"/>
          <w:szCs w:val="24"/>
        </w:rPr>
        <w:t>,</w:t>
      </w:r>
      <w:r w:rsidR="00C34AF0" w:rsidRPr="003D1360">
        <w:rPr>
          <w:rFonts w:ascii="Times New Roman" w:hAnsi="Times New Roman" w:cs="Times New Roman"/>
          <w:sz w:val="24"/>
          <w:szCs w:val="24"/>
        </w:rPr>
        <w:t xml:space="preserve"> prije svega stavljajući naglasak na </w:t>
      </w:r>
      <w:r w:rsidR="00587B16" w:rsidRPr="003D1360">
        <w:rPr>
          <w:rFonts w:ascii="Times New Roman" w:hAnsi="Times New Roman" w:cs="Times New Roman"/>
          <w:sz w:val="24"/>
          <w:szCs w:val="24"/>
        </w:rPr>
        <w:t>usklađivanj</w:t>
      </w:r>
      <w:r w:rsidR="00C34AF0" w:rsidRPr="003D1360">
        <w:rPr>
          <w:rFonts w:ascii="Times New Roman" w:hAnsi="Times New Roman" w:cs="Times New Roman"/>
          <w:sz w:val="24"/>
          <w:szCs w:val="24"/>
        </w:rPr>
        <w:t>e</w:t>
      </w:r>
      <w:r w:rsidR="00587B16" w:rsidRPr="003D1360">
        <w:rPr>
          <w:rFonts w:ascii="Times New Roman" w:hAnsi="Times New Roman" w:cs="Times New Roman"/>
          <w:sz w:val="24"/>
          <w:szCs w:val="24"/>
        </w:rPr>
        <w:t xml:space="preserve"> s regulatornim zahtjevima</w:t>
      </w:r>
      <w:r w:rsidR="0059553E" w:rsidRPr="003D1360">
        <w:rPr>
          <w:rFonts w:ascii="Times New Roman" w:hAnsi="Times New Roman" w:cs="Times New Roman"/>
          <w:sz w:val="24"/>
          <w:szCs w:val="24"/>
        </w:rPr>
        <w:t xml:space="preserve"> u pogledu izvještavanja o održivosti i podizanja svijesti o važnosti </w:t>
      </w:r>
      <w:r w:rsidRPr="003D1360">
        <w:rPr>
          <w:rFonts w:ascii="Times New Roman" w:hAnsi="Times New Roman" w:cs="Times New Roman"/>
          <w:sz w:val="24"/>
          <w:szCs w:val="24"/>
        </w:rPr>
        <w:t>uključivanja koncepta održivosti u donošenje odluka i na poslovanje u cjelini</w:t>
      </w:r>
      <w:r w:rsidR="00587B16" w:rsidRPr="003D1360">
        <w:rPr>
          <w:rFonts w:ascii="Times New Roman" w:hAnsi="Times New Roman" w:cs="Times New Roman"/>
          <w:sz w:val="24"/>
          <w:szCs w:val="24"/>
        </w:rPr>
        <w:t>.</w:t>
      </w:r>
      <w:r w:rsidR="00BD4426" w:rsidRPr="003D1360">
        <w:rPr>
          <w:rFonts w:ascii="Times New Roman" w:hAnsi="Times New Roman" w:cs="Times New Roman"/>
          <w:sz w:val="24"/>
          <w:szCs w:val="24"/>
        </w:rPr>
        <w:t xml:space="preserve"> </w:t>
      </w:r>
      <w:r w:rsidRPr="003D1360">
        <w:rPr>
          <w:rFonts w:ascii="Times New Roman" w:hAnsi="Times New Roman" w:cs="Times New Roman"/>
          <w:sz w:val="24"/>
          <w:szCs w:val="24"/>
        </w:rPr>
        <w:t>Akcijski p</w:t>
      </w:r>
      <w:r w:rsidR="00BD4426" w:rsidRPr="003D1360">
        <w:rPr>
          <w:rFonts w:ascii="Times New Roman" w:hAnsi="Times New Roman" w:cs="Times New Roman"/>
          <w:sz w:val="24"/>
          <w:szCs w:val="24"/>
        </w:rPr>
        <w:t>lan predviđa intenzivnu suradnju s ključnim dionicima, razmjenu najboljih praksi te jačanje kapaciteta. Na taj način osigurat će se temelj za konkurentnost hrvatskog gospodarstva u kontekstu europskih i globalnih održivih inicijativa.</w:t>
      </w:r>
    </w:p>
    <w:p w14:paraId="2A1E23D3" w14:textId="61177639" w:rsidR="00E02505" w:rsidRPr="003D1360" w:rsidRDefault="00E02505" w:rsidP="00FE44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>Forum planira</w:t>
      </w:r>
      <w:r w:rsidR="002777B5" w:rsidRPr="003D1360">
        <w:rPr>
          <w:rFonts w:ascii="Times New Roman" w:hAnsi="Times New Roman" w:cs="Times New Roman"/>
          <w:sz w:val="24"/>
          <w:szCs w:val="24"/>
        </w:rPr>
        <w:t xml:space="preserve"> provedbu i </w:t>
      </w:r>
      <w:r w:rsidRPr="003D1360">
        <w:rPr>
          <w:rFonts w:ascii="Times New Roman" w:hAnsi="Times New Roman" w:cs="Times New Roman"/>
          <w:sz w:val="24"/>
          <w:szCs w:val="24"/>
        </w:rPr>
        <w:t>provodi</w:t>
      </w:r>
      <w:r w:rsidR="002777B5" w:rsidRPr="003D1360">
        <w:rPr>
          <w:rFonts w:ascii="Times New Roman" w:hAnsi="Times New Roman" w:cs="Times New Roman"/>
          <w:sz w:val="24"/>
          <w:szCs w:val="24"/>
        </w:rPr>
        <w:t xml:space="preserve">t će te će izvještavati o provedbi </w:t>
      </w:r>
      <w:r w:rsidR="004E27D7" w:rsidRPr="003D1360">
        <w:rPr>
          <w:rFonts w:ascii="Times New Roman" w:hAnsi="Times New Roman" w:cs="Times New Roman"/>
          <w:sz w:val="24"/>
          <w:szCs w:val="24"/>
        </w:rPr>
        <w:t xml:space="preserve">mjera </w:t>
      </w:r>
      <w:r w:rsidRPr="003D1360">
        <w:rPr>
          <w:rFonts w:ascii="Times New Roman" w:hAnsi="Times New Roman" w:cs="Times New Roman"/>
          <w:sz w:val="24"/>
          <w:szCs w:val="24"/>
        </w:rPr>
        <w:t>i aktivnosti iz Akcijskog plana,</w:t>
      </w:r>
      <w:r w:rsidR="00E91D32" w:rsidRPr="003D1360">
        <w:rPr>
          <w:rFonts w:ascii="Times New Roman" w:hAnsi="Times New Roman" w:cs="Times New Roman"/>
          <w:sz w:val="24"/>
          <w:szCs w:val="24"/>
        </w:rPr>
        <w:t xml:space="preserve"> a članovi Foruma</w:t>
      </w:r>
      <w:r w:rsidRPr="003D1360">
        <w:rPr>
          <w:rFonts w:ascii="Times New Roman" w:hAnsi="Times New Roman" w:cs="Times New Roman"/>
          <w:sz w:val="24"/>
          <w:szCs w:val="24"/>
        </w:rPr>
        <w:t xml:space="preserve"> </w:t>
      </w:r>
      <w:r w:rsidR="004E27D7" w:rsidRPr="003D1360">
        <w:rPr>
          <w:rFonts w:ascii="Times New Roman" w:hAnsi="Times New Roman" w:cs="Times New Roman"/>
          <w:sz w:val="24"/>
          <w:szCs w:val="24"/>
        </w:rPr>
        <w:t xml:space="preserve">izvještavat će </w:t>
      </w:r>
      <w:r w:rsidRPr="003D1360">
        <w:rPr>
          <w:rFonts w:ascii="Times New Roman" w:hAnsi="Times New Roman" w:cs="Times New Roman"/>
          <w:sz w:val="24"/>
          <w:szCs w:val="24"/>
        </w:rPr>
        <w:t xml:space="preserve">Ministarstvo financija i ostale članove o poduzetim aktivnostima te </w:t>
      </w:r>
      <w:r w:rsidR="004E27D7" w:rsidRPr="003D1360">
        <w:rPr>
          <w:rFonts w:ascii="Times New Roman" w:hAnsi="Times New Roman" w:cs="Times New Roman"/>
          <w:sz w:val="24"/>
          <w:szCs w:val="24"/>
        </w:rPr>
        <w:t xml:space="preserve">će </w:t>
      </w:r>
      <w:r w:rsidRPr="003D1360">
        <w:rPr>
          <w:rFonts w:ascii="Times New Roman" w:hAnsi="Times New Roman" w:cs="Times New Roman"/>
          <w:sz w:val="24"/>
          <w:szCs w:val="24"/>
        </w:rPr>
        <w:t>raspravlja</w:t>
      </w:r>
      <w:r w:rsidR="004E27D7" w:rsidRPr="003D1360">
        <w:rPr>
          <w:rFonts w:ascii="Times New Roman" w:hAnsi="Times New Roman" w:cs="Times New Roman"/>
          <w:sz w:val="24"/>
          <w:szCs w:val="24"/>
        </w:rPr>
        <w:t>ti</w:t>
      </w:r>
      <w:r w:rsidRPr="003D1360">
        <w:rPr>
          <w:rFonts w:ascii="Times New Roman" w:hAnsi="Times New Roman" w:cs="Times New Roman"/>
          <w:sz w:val="24"/>
          <w:szCs w:val="24"/>
        </w:rPr>
        <w:t xml:space="preserve"> o ostalim pitanjima vezanim uz podršku održivom financiranju.  </w:t>
      </w:r>
    </w:p>
    <w:p w14:paraId="17756864" w14:textId="56EB79DB" w:rsidR="0059553E" w:rsidRPr="003D1360" w:rsidRDefault="00475F24" w:rsidP="00FE44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 xml:space="preserve">Kao koordinator, Ministarstvo financija </w:t>
      </w:r>
      <w:r w:rsidR="00E91D32" w:rsidRPr="003D1360">
        <w:rPr>
          <w:rFonts w:ascii="Times New Roman" w:hAnsi="Times New Roman" w:cs="Times New Roman"/>
          <w:sz w:val="24"/>
          <w:szCs w:val="24"/>
        </w:rPr>
        <w:t xml:space="preserve">će </w:t>
      </w:r>
      <w:r w:rsidR="004E27D7" w:rsidRPr="003D1360">
        <w:rPr>
          <w:rFonts w:ascii="Times New Roman" w:hAnsi="Times New Roman" w:cs="Times New Roman"/>
          <w:sz w:val="24"/>
          <w:szCs w:val="24"/>
        </w:rPr>
        <w:t>u roku od šest mjeseci nakon proteka razdoblja za koje je Akcijski plan donesen izvijestiti</w:t>
      </w:r>
      <w:r w:rsidRPr="003D1360">
        <w:rPr>
          <w:rFonts w:ascii="Times New Roman" w:hAnsi="Times New Roman" w:cs="Times New Roman"/>
          <w:sz w:val="24"/>
          <w:szCs w:val="24"/>
        </w:rPr>
        <w:t xml:space="preserve"> Vladu Republike Hrvatske o </w:t>
      </w:r>
      <w:r w:rsidR="004E27D7" w:rsidRPr="003D1360">
        <w:rPr>
          <w:rFonts w:ascii="Times New Roman" w:hAnsi="Times New Roman" w:cs="Times New Roman"/>
          <w:sz w:val="24"/>
          <w:szCs w:val="24"/>
        </w:rPr>
        <w:t xml:space="preserve">povedenim </w:t>
      </w:r>
      <w:r w:rsidRPr="003D1360">
        <w:rPr>
          <w:rFonts w:ascii="Times New Roman" w:hAnsi="Times New Roman" w:cs="Times New Roman"/>
          <w:sz w:val="24"/>
          <w:szCs w:val="24"/>
        </w:rPr>
        <w:t xml:space="preserve">aktivnostima i mjerama.  </w:t>
      </w:r>
    </w:p>
    <w:p w14:paraId="73C7A917" w14:textId="5B36EF1C" w:rsidR="005631BF" w:rsidRPr="003D1360" w:rsidRDefault="005631BF" w:rsidP="005631B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ab/>
      </w:r>
      <w:r w:rsidRPr="003D136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34AF0" w:rsidRPr="003D1360">
        <w:rPr>
          <w:rFonts w:ascii="Times New Roman" w:hAnsi="Times New Roman" w:cs="Times New Roman"/>
          <w:b/>
          <w:sz w:val="24"/>
          <w:szCs w:val="24"/>
        </w:rPr>
        <w:t xml:space="preserve">SADRŽAJ </w:t>
      </w:r>
      <w:r w:rsidR="000C6FC4" w:rsidRPr="003D1360">
        <w:rPr>
          <w:rFonts w:ascii="Times New Roman" w:hAnsi="Times New Roman" w:cs="Times New Roman"/>
          <w:b/>
          <w:sz w:val="24"/>
          <w:szCs w:val="24"/>
        </w:rPr>
        <w:t>I CILJANE SKUPINE</w:t>
      </w:r>
    </w:p>
    <w:p w14:paraId="34222CDE" w14:textId="47270FF1" w:rsidR="000C6FC4" w:rsidRPr="003D1360" w:rsidRDefault="000C6FC4" w:rsidP="000C6FC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>Akcijski plan se sastoji</w:t>
      </w:r>
      <w:r w:rsidR="00E91D32" w:rsidRPr="003D1360">
        <w:rPr>
          <w:rFonts w:ascii="Times New Roman" w:hAnsi="Times New Roman" w:cs="Times New Roman"/>
          <w:sz w:val="24"/>
          <w:szCs w:val="24"/>
        </w:rPr>
        <w:t>, među ostalim,</w:t>
      </w:r>
      <w:r w:rsidRPr="003D1360">
        <w:rPr>
          <w:rFonts w:ascii="Times New Roman" w:hAnsi="Times New Roman" w:cs="Times New Roman"/>
          <w:sz w:val="24"/>
          <w:szCs w:val="24"/>
        </w:rPr>
        <w:t xml:space="preserve"> od mjera za podršku poduzetnicima u </w:t>
      </w:r>
      <w:r w:rsidRPr="003D1360">
        <w:rPr>
          <w:rFonts w:ascii="Times New Roman" w:hAnsi="Times New Roman" w:cs="Times New Roman"/>
          <w:bCs/>
          <w:sz w:val="24"/>
          <w:szCs w:val="24"/>
        </w:rPr>
        <w:t>tranziciji prema održivom poslovanju</w:t>
      </w:r>
      <w:r w:rsidRPr="003D1360">
        <w:rPr>
          <w:rFonts w:ascii="Times New Roman" w:hAnsi="Times New Roman" w:cs="Times New Roman"/>
          <w:sz w:val="24"/>
          <w:szCs w:val="24"/>
        </w:rPr>
        <w:t>, jačanju njihove konkurentnosti te usklađivanju s regulatornim zahtjevima iz područja izvještavanja o održivosti. Mjere su osmišljene kako bi omogućile poduzetnicima pristup potrebnim informacijama, resursima i alatima za uspješnu implementaciju održivih poslovnih praksi. Provedbom ovih mjera, poduzetnicima će se osigurati podrška u procesu prilagodbe održivom poslovanju, čime će se pridonijeti otpornosti gospodarstva i ostvarenju ciljeva Europskog zelenog plana.</w:t>
      </w:r>
      <w:r w:rsidRPr="003D13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E15445" w14:textId="77777777" w:rsidR="000C6FC4" w:rsidRPr="003D1360" w:rsidRDefault="000C6FC4" w:rsidP="000C6FC4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lastRenderedPageBreak/>
        <w:t>Uzimajući u obzir činjenicu da zahtjevi za izvještavanjem o održivosti, koji proizlaze iz CSRD Direktive i primjene Europskih standarda izvještavanja o održivosti (ESRS), predstavljaju novost za velik broj poduzetnika, Akcijski plan usmjeren je prema različitim ciljnim skupinama.</w:t>
      </w:r>
    </w:p>
    <w:p w14:paraId="3A6A97AF" w14:textId="77777777" w:rsidR="000C6FC4" w:rsidRPr="003D1360" w:rsidRDefault="000C6FC4" w:rsidP="000C6FC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Prva ciljana skupina su </w:t>
      </w:r>
      <w:r w:rsidRPr="003D13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poduzetnici koji postaju obveznici izvještavanja o održivosti</w:t>
      </w:r>
      <w:r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>. Ova skupina suočava se s novim regulatornim obvezama i potrebom za prilagodbom poslovanja kako bi ispunili standarde i rokove za objavu informacija o održivosti.</w:t>
      </w:r>
    </w:p>
    <w:p w14:paraId="033D59F4" w14:textId="1DD59081" w:rsidR="00066305" w:rsidRPr="003D1360" w:rsidRDefault="000C6FC4" w:rsidP="000C6FC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Druga ciljana skupina uključuje </w:t>
      </w:r>
      <w:r w:rsidRPr="003D13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poduzetnike koji nemaju zakonsku obvezu izvještavanja o održivosti</w:t>
      </w:r>
      <w:r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>, ali su izloženi rastućim zahtjevima za pružanjem informacija o održivosti. Ti zahtjevi dolaze od poslovnih partnera, financijskih institucija i kroz lanac vrijednosti, često u nestandardiziranom obliku, što otežava njihov pristup relevantnim informacijama i usklađivanje s očekivanjima.</w:t>
      </w:r>
    </w:p>
    <w:p w14:paraId="25156082" w14:textId="5DD3119D" w:rsidR="00867E52" w:rsidRPr="003D1360" w:rsidRDefault="00867E52" w:rsidP="000C6FC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>Treća c</w:t>
      </w:r>
      <w:r w:rsidR="00D74802"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iljana skupina je </w:t>
      </w:r>
      <w:r w:rsidR="000E2A91"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šira </w:t>
      </w:r>
      <w:r w:rsidR="00D74802"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javnost. </w:t>
      </w:r>
    </w:p>
    <w:p w14:paraId="5B418C93" w14:textId="01555FAF" w:rsidR="000C6FC4" w:rsidRPr="003D1360" w:rsidRDefault="000C6FC4" w:rsidP="00475F2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cilju približavanja važnosti izvještavanja o održivosti i olakšavanja prilagodbe novim zahtjevima, planira se organizacija </w:t>
      </w:r>
      <w:r w:rsidRPr="003D13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edukacija prilagođenih različitim dionicima</w:t>
      </w:r>
      <w:r w:rsidR="00475F24"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</w:t>
      </w:r>
      <w:r w:rsidR="00D74802"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priprema raznih edukativnih materijala. </w:t>
      </w:r>
    </w:p>
    <w:p w14:paraId="2BC86C5F" w14:textId="7E675A8A" w:rsidR="00E02505" w:rsidRPr="003D1360" w:rsidRDefault="000C6FC4" w:rsidP="00475F2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360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Provedbom ovih aktivnosti omogućit će se svim poduzetnicima, bez obzira na zakonske obveze, da se pravovremeno informiraju, usklade svoje poslovanje i osiguraju transparentno i standardizirano izvještavanje o održivosti. To će dodatno unaprijediti njihovu konkurentnost i otpornost u uvjetima sve strožih zahtjeva za održivost na europskom i globalnom tržištu.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964"/>
        <w:gridCol w:w="2694"/>
        <w:gridCol w:w="2409"/>
      </w:tblGrid>
      <w:tr w:rsidR="00E02505" w:rsidRPr="003D1360" w14:paraId="2E163212" w14:textId="77777777" w:rsidTr="00807728">
        <w:trPr>
          <w:trHeight w:val="363"/>
        </w:trPr>
        <w:tc>
          <w:tcPr>
            <w:tcW w:w="3964" w:type="dxa"/>
            <w:shd w:val="clear" w:color="auto" w:fill="1F3864" w:themeFill="accent5" w:themeFillShade="80"/>
            <w:vAlign w:val="center"/>
          </w:tcPr>
          <w:p w14:paraId="229A01F2" w14:textId="77777777" w:rsidR="00E02505" w:rsidRPr="003D1360" w:rsidRDefault="00E02505" w:rsidP="00E91D32">
            <w:pPr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hr-HR"/>
              </w:rPr>
            </w:pPr>
            <w:r w:rsidRPr="003D1360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hr-HR"/>
              </w:rPr>
              <w:t>Obveznici izvještavanja o održivosti</w:t>
            </w:r>
          </w:p>
        </w:tc>
        <w:tc>
          <w:tcPr>
            <w:tcW w:w="2694" w:type="dxa"/>
            <w:shd w:val="clear" w:color="auto" w:fill="1F3864" w:themeFill="accent5" w:themeFillShade="80"/>
            <w:vAlign w:val="center"/>
          </w:tcPr>
          <w:p w14:paraId="0949652E" w14:textId="77777777" w:rsidR="00E02505" w:rsidRPr="003D1360" w:rsidRDefault="00E02505" w:rsidP="00E91D32">
            <w:pPr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hr-HR"/>
              </w:rPr>
            </w:pPr>
            <w:r w:rsidRPr="003D1360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hr-HR"/>
              </w:rPr>
              <w:t>Početak izvještavanja</w:t>
            </w:r>
          </w:p>
        </w:tc>
        <w:tc>
          <w:tcPr>
            <w:tcW w:w="2409" w:type="dxa"/>
            <w:shd w:val="clear" w:color="auto" w:fill="1F3864" w:themeFill="accent5" w:themeFillShade="80"/>
            <w:vAlign w:val="center"/>
          </w:tcPr>
          <w:p w14:paraId="5FBB436A" w14:textId="77777777" w:rsidR="00E02505" w:rsidRPr="003D1360" w:rsidRDefault="00E02505" w:rsidP="00E91D32">
            <w:pPr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hr-HR"/>
              </w:rPr>
            </w:pPr>
            <w:r w:rsidRPr="003D1360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hr-HR"/>
              </w:rPr>
              <w:t>Prva objava izvještaja o održivosti</w:t>
            </w:r>
          </w:p>
        </w:tc>
      </w:tr>
      <w:tr w:rsidR="00E02505" w:rsidRPr="003D1360" w14:paraId="2F5BD6A6" w14:textId="77777777" w:rsidTr="00807728">
        <w:trPr>
          <w:trHeight w:val="668"/>
        </w:trPr>
        <w:tc>
          <w:tcPr>
            <w:tcW w:w="3964" w:type="dxa"/>
            <w:vAlign w:val="center"/>
          </w:tcPr>
          <w:p w14:paraId="248B99FB" w14:textId="130C1F33" w:rsidR="00E02505" w:rsidRPr="003D1360" w:rsidRDefault="00E02505" w:rsidP="00E91D32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hr-HR"/>
              </w:rPr>
            </w:pPr>
            <w:r w:rsidRPr="003D1360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hr-HR"/>
              </w:rPr>
              <w:t>Veliki poduzetnici i matična društva velikih grupa prema kriterijima koji su subjekti od javnog interesa i koji na datum bilance prelaze kriterij prosječnog broja od 500 radnika tijekom prethodne poslovne godine</w:t>
            </w:r>
            <w:r w:rsidR="00475F24" w:rsidRPr="003D1360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hr-HR"/>
              </w:rPr>
              <w:t xml:space="preserve"> (listana društva, kreditne institucije i osiguravajuća društva)</w:t>
            </w:r>
          </w:p>
        </w:tc>
        <w:tc>
          <w:tcPr>
            <w:tcW w:w="2694" w:type="dxa"/>
            <w:vAlign w:val="center"/>
          </w:tcPr>
          <w:p w14:paraId="1A9F09ED" w14:textId="77777777" w:rsidR="00E02505" w:rsidRPr="003D1360" w:rsidRDefault="00E02505" w:rsidP="00E91D32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hr-HR"/>
              </w:rPr>
            </w:pPr>
            <w:r w:rsidRPr="003D1360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hr-HR"/>
              </w:rPr>
              <w:t>1. siječnja 2024. ili nakon toga datuma</w:t>
            </w:r>
          </w:p>
        </w:tc>
        <w:tc>
          <w:tcPr>
            <w:tcW w:w="2409" w:type="dxa"/>
            <w:vAlign w:val="center"/>
          </w:tcPr>
          <w:p w14:paraId="624C9779" w14:textId="77777777" w:rsidR="00E02505" w:rsidRPr="003D1360" w:rsidRDefault="00E02505" w:rsidP="00E91D32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hr-HR"/>
              </w:rPr>
            </w:pPr>
            <w:r w:rsidRPr="003D1360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hr-HR"/>
              </w:rPr>
              <w:t xml:space="preserve">2025. </w:t>
            </w:r>
          </w:p>
        </w:tc>
      </w:tr>
      <w:tr w:rsidR="00E02505" w:rsidRPr="003D1360" w14:paraId="0FFBF061" w14:textId="77777777" w:rsidTr="00807728">
        <w:trPr>
          <w:trHeight w:val="698"/>
        </w:trPr>
        <w:tc>
          <w:tcPr>
            <w:tcW w:w="3964" w:type="dxa"/>
            <w:vAlign w:val="center"/>
          </w:tcPr>
          <w:p w14:paraId="7146620A" w14:textId="77777777" w:rsidR="00E02505" w:rsidRPr="003D1360" w:rsidRDefault="00E02505" w:rsidP="00E91D32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hr-HR"/>
              </w:rPr>
            </w:pPr>
            <w:r w:rsidRPr="003D1360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hr-HR"/>
              </w:rPr>
              <w:t xml:space="preserve">Ostali veliki poduzetnici i matična društva velikih grupa </w:t>
            </w:r>
          </w:p>
        </w:tc>
        <w:tc>
          <w:tcPr>
            <w:tcW w:w="2694" w:type="dxa"/>
            <w:vAlign w:val="center"/>
          </w:tcPr>
          <w:p w14:paraId="342BFB44" w14:textId="77777777" w:rsidR="00E02505" w:rsidRPr="003D1360" w:rsidRDefault="00E02505" w:rsidP="00E91D32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hr-HR"/>
              </w:rPr>
            </w:pPr>
            <w:r w:rsidRPr="003D1360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hr-HR"/>
              </w:rPr>
              <w:t>1. siječnja 2025. ili nakon toga datuma</w:t>
            </w:r>
          </w:p>
        </w:tc>
        <w:tc>
          <w:tcPr>
            <w:tcW w:w="2409" w:type="dxa"/>
            <w:vAlign w:val="center"/>
          </w:tcPr>
          <w:p w14:paraId="16532D42" w14:textId="77777777" w:rsidR="00E02505" w:rsidRPr="003D1360" w:rsidRDefault="00E02505" w:rsidP="00E91D32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hr-HR"/>
              </w:rPr>
            </w:pPr>
            <w:r w:rsidRPr="003D1360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hr-HR"/>
              </w:rPr>
              <w:t xml:space="preserve">2026. </w:t>
            </w:r>
          </w:p>
        </w:tc>
      </w:tr>
      <w:tr w:rsidR="00E02505" w:rsidRPr="003D1360" w14:paraId="2CA17209" w14:textId="77777777" w:rsidTr="00807728">
        <w:trPr>
          <w:trHeight w:val="668"/>
        </w:trPr>
        <w:tc>
          <w:tcPr>
            <w:tcW w:w="3964" w:type="dxa"/>
            <w:vAlign w:val="center"/>
          </w:tcPr>
          <w:p w14:paraId="4F4183F1" w14:textId="77777777" w:rsidR="00E02505" w:rsidRPr="003D1360" w:rsidRDefault="00E02505" w:rsidP="00E91D32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hr-HR"/>
              </w:rPr>
            </w:pPr>
            <w:r w:rsidRPr="003D1360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hr-HR"/>
              </w:rPr>
              <w:t>Mali i srednji poduzetnici čiji su vrijednosni papiri uvršteni na uređeno tržište bilo koje države članice EU-a, male i jednostavne kreditne institucije te vlastita društva za osiguranje i reosiguranje ako zadovoljavaju kriterije</w:t>
            </w:r>
          </w:p>
        </w:tc>
        <w:tc>
          <w:tcPr>
            <w:tcW w:w="2694" w:type="dxa"/>
            <w:vAlign w:val="center"/>
          </w:tcPr>
          <w:p w14:paraId="1F6F9210" w14:textId="77777777" w:rsidR="00E02505" w:rsidRPr="003D1360" w:rsidRDefault="00E02505" w:rsidP="00E91D32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hr-HR"/>
              </w:rPr>
            </w:pPr>
            <w:r w:rsidRPr="003D1360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hr-HR"/>
              </w:rPr>
              <w:t>1. siječnja 2026. ili nakon toga datuma</w:t>
            </w:r>
          </w:p>
        </w:tc>
        <w:tc>
          <w:tcPr>
            <w:tcW w:w="2409" w:type="dxa"/>
            <w:vAlign w:val="center"/>
          </w:tcPr>
          <w:p w14:paraId="16433DAA" w14:textId="77777777" w:rsidR="00E02505" w:rsidRPr="003D1360" w:rsidRDefault="00E02505" w:rsidP="00E91D32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hr-HR"/>
              </w:rPr>
            </w:pPr>
            <w:r w:rsidRPr="003D1360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hr-HR"/>
              </w:rPr>
              <w:t xml:space="preserve">2027. </w:t>
            </w:r>
          </w:p>
        </w:tc>
      </w:tr>
    </w:tbl>
    <w:p w14:paraId="2E643EB5" w14:textId="77777777" w:rsidR="00E02505" w:rsidRPr="003D1360" w:rsidRDefault="00E02505" w:rsidP="00475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A3B5F" w14:textId="04EEF378" w:rsidR="00475F24" w:rsidRPr="003D1360" w:rsidRDefault="00475F24" w:rsidP="00475F24">
      <w:pPr>
        <w:pStyle w:val="StandardWeb"/>
        <w:spacing w:after="0" w:afterAutospacing="0" w:line="276" w:lineRule="auto"/>
        <w:jc w:val="both"/>
      </w:pPr>
      <w:r w:rsidRPr="003D1360">
        <w:lastRenderedPageBreak/>
        <w:t xml:space="preserve">Akcijski plan osmišljen je kao </w:t>
      </w:r>
      <w:r w:rsidRPr="003D1360">
        <w:rPr>
          <w:rStyle w:val="Naglaeno"/>
          <w:b w:val="0"/>
        </w:rPr>
        <w:t>„živi dokument“</w:t>
      </w:r>
      <w:r w:rsidRPr="0079577C">
        <w:t>,</w:t>
      </w:r>
      <w:r w:rsidRPr="003D1360">
        <w:t xml:space="preserve"> što znači da je podložan prilagodbama i unaprjeđenjima kako bi odgovorio na dinamične promjene u okruženju i specifične potrebe dionika. Praćenje provedbe Akcijskog plana omogućit će </w:t>
      </w:r>
      <w:r w:rsidRPr="003D1360">
        <w:rPr>
          <w:rStyle w:val="Naglaeno"/>
          <w:b w:val="0"/>
        </w:rPr>
        <w:t>Ministarstvu financija</w:t>
      </w:r>
      <w:r w:rsidRPr="003D1360">
        <w:t xml:space="preserve"> i ostalim nositeljima provedbe da prepoznaju uspješne mjere i pristupe, definiraju nove ciljne skupine te osiguraju potrebne resurse za implementaciju planiranih aktivnosti. Također, kroz praćenje će se identificirati potencijalni nedostaci i definirati koraci za njihovo učinkovito otklanjanje.</w:t>
      </w:r>
    </w:p>
    <w:p w14:paraId="326B97BD" w14:textId="4EFCE0EF" w:rsidR="00FB1E82" w:rsidRPr="003D1360" w:rsidRDefault="00FB1E82" w:rsidP="00FE44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FB1E82" w:rsidRPr="003D1360" w:rsidSect="00C27B24">
          <w:footerReference w:type="default" r:id="rId12"/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1DEFEA43" w14:textId="77777777" w:rsidR="00475F24" w:rsidRPr="003D1360" w:rsidRDefault="00475F24" w:rsidP="00FE44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72EDA" w14:textId="41FB8889" w:rsidR="005631BF" w:rsidRPr="003D1360" w:rsidRDefault="005631BF" w:rsidP="005631BF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60">
        <w:rPr>
          <w:rFonts w:ascii="Times New Roman" w:hAnsi="Times New Roman" w:cs="Times New Roman"/>
          <w:b/>
          <w:sz w:val="24"/>
          <w:szCs w:val="24"/>
        </w:rPr>
        <w:t>4</w:t>
      </w:r>
      <w:r w:rsidR="0084715B">
        <w:rPr>
          <w:rFonts w:ascii="Times New Roman" w:hAnsi="Times New Roman" w:cs="Times New Roman"/>
          <w:b/>
          <w:sz w:val="24"/>
          <w:szCs w:val="24"/>
        </w:rPr>
        <w:t xml:space="preserve">. MJERE, AKTIVNOSTI, NOSITELJI </w:t>
      </w:r>
      <w:r w:rsidRPr="003D1360">
        <w:rPr>
          <w:rFonts w:ascii="Times New Roman" w:hAnsi="Times New Roman" w:cs="Times New Roman"/>
          <w:b/>
          <w:sz w:val="24"/>
          <w:szCs w:val="24"/>
        </w:rPr>
        <w:t>I ROKOVI PROVEDBE</w:t>
      </w:r>
    </w:p>
    <w:p w14:paraId="7E2D00A6" w14:textId="43E424BD" w:rsidR="00B45EAB" w:rsidRPr="003D1360" w:rsidRDefault="00B45EAB" w:rsidP="00FE44AC">
      <w:pPr>
        <w:tabs>
          <w:tab w:val="left" w:pos="6930"/>
          <w:tab w:val="left" w:pos="9330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1149"/>
        <w:gridCol w:w="1990"/>
        <w:gridCol w:w="2247"/>
        <w:gridCol w:w="1363"/>
        <w:gridCol w:w="1310"/>
        <w:gridCol w:w="1549"/>
        <w:gridCol w:w="1560"/>
        <w:gridCol w:w="3286"/>
      </w:tblGrid>
      <w:tr w:rsidR="00807728" w:rsidRPr="003D1360" w14:paraId="14486343" w14:textId="337C5AFC" w:rsidTr="00807728">
        <w:trPr>
          <w:trHeight w:val="317"/>
        </w:trPr>
        <w:tc>
          <w:tcPr>
            <w:tcW w:w="14454" w:type="dxa"/>
            <w:gridSpan w:val="8"/>
            <w:shd w:val="clear" w:color="auto" w:fill="1F3864" w:themeFill="accent5" w:themeFillShade="80"/>
          </w:tcPr>
          <w:p w14:paraId="44BB34F0" w14:textId="3A2490A1" w:rsidR="00807728" w:rsidRPr="003D1360" w:rsidRDefault="00807728" w:rsidP="00541EBA">
            <w:pPr>
              <w:tabs>
                <w:tab w:val="left" w:pos="6930"/>
                <w:tab w:val="left" w:pos="933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AKCIJ</w:t>
            </w:r>
            <w:r w:rsidR="0054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S</w:t>
            </w:r>
            <w:r w:rsidRPr="003D1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KI PLAN FORUMA ZA PODRŠKU ODRŽIVOM FINANCIRANJU ZA 2025. i 2026. GODINU</w:t>
            </w:r>
          </w:p>
        </w:tc>
      </w:tr>
      <w:tr w:rsidR="00807728" w:rsidRPr="003D1360" w14:paraId="493E133C" w14:textId="77777777" w:rsidTr="00807728">
        <w:trPr>
          <w:trHeight w:val="318"/>
        </w:trPr>
        <w:tc>
          <w:tcPr>
            <w:tcW w:w="14454" w:type="dxa"/>
            <w:gridSpan w:val="8"/>
            <w:vAlign w:val="center"/>
          </w:tcPr>
          <w:p w14:paraId="7AD7F0CE" w14:textId="77777777" w:rsidR="00807728" w:rsidRPr="003D1360" w:rsidRDefault="00807728" w:rsidP="00645F2A">
            <w:pPr>
              <w:tabs>
                <w:tab w:val="left" w:pos="6930"/>
                <w:tab w:val="left" w:pos="93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6C263F" w:rsidRPr="003D1360" w14:paraId="661AE7E6" w14:textId="3146F534" w:rsidTr="00CF75D2">
        <w:trPr>
          <w:trHeight w:val="318"/>
        </w:trPr>
        <w:tc>
          <w:tcPr>
            <w:tcW w:w="1149" w:type="dxa"/>
            <w:shd w:val="clear" w:color="auto" w:fill="DEEAF6" w:themeFill="accent1" w:themeFillTint="33"/>
            <w:vAlign w:val="center"/>
          </w:tcPr>
          <w:p w14:paraId="3814BE42" w14:textId="0D25B3CA" w:rsidR="00807728" w:rsidRPr="003D1360" w:rsidRDefault="00807728" w:rsidP="00645F2A">
            <w:pPr>
              <w:tabs>
                <w:tab w:val="left" w:pos="6930"/>
                <w:tab w:val="left" w:pos="933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  <w:t>R.Br.</w:t>
            </w:r>
          </w:p>
        </w:tc>
        <w:tc>
          <w:tcPr>
            <w:tcW w:w="1990" w:type="dxa"/>
            <w:shd w:val="clear" w:color="auto" w:fill="DEEAF6" w:themeFill="accent1" w:themeFillTint="33"/>
            <w:vAlign w:val="center"/>
          </w:tcPr>
          <w:p w14:paraId="0ED3B74E" w14:textId="4DADC278" w:rsidR="00807728" w:rsidRPr="003D1360" w:rsidRDefault="00807728" w:rsidP="00645F2A">
            <w:pPr>
              <w:tabs>
                <w:tab w:val="left" w:pos="6930"/>
                <w:tab w:val="left" w:pos="933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Mjera</w:t>
            </w:r>
          </w:p>
        </w:tc>
        <w:tc>
          <w:tcPr>
            <w:tcW w:w="2247" w:type="dxa"/>
            <w:shd w:val="clear" w:color="auto" w:fill="DEEAF6" w:themeFill="accent1" w:themeFillTint="33"/>
            <w:vAlign w:val="center"/>
          </w:tcPr>
          <w:p w14:paraId="6B2BF031" w14:textId="0DC3F96C" w:rsidR="00807728" w:rsidRPr="003D1360" w:rsidRDefault="00807728" w:rsidP="00645F2A">
            <w:pPr>
              <w:tabs>
                <w:tab w:val="left" w:pos="6930"/>
                <w:tab w:val="left" w:pos="933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Aktivnost</w:t>
            </w:r>
          </w:p>
        </w:tc>
        <w:tc>
          <w:tcPr>
            <w:tcW w:w="1363" w:type="dxa"/>
            <w:shd w:val="clear" w:color="auto" w:fill="DEEAF6" w:themeFill="accent1" w:themeFillTint="33"/>
            <w:vAlign w:val="center"/>
          </w:tcPr>
          <w:p w14:paraId="0FAA853C" w14:textId="01396610" w:rsidR="00807728" w:rsidRPr="003D1360" w:rsidRDefault="00807728" w:rsidP="00645F2A">
            <w:pPr>
              <w:tabs>
                <w:tab w:val="left" w:pos="6930"/>
                <w:tab w:val="left" w:pos="933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Nositelj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1BC604F9" w14:textId="79C29B1D" w:rsidR="00807728" w:rsidRPr="003D1360" w:rsidRDefault="00807728" w:rsidP="00645F2A">
            <w:pPr>
              <w:tabs>
                <w:tab w:val="left" w:pos="6930"/>
                <w:tab w:val="left" w:pos="933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proofErr w:type="spellStart"/>
            <w:r w:rsidRPr="003D1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Sunositelj</w:t>
            </w:r>
            <w:proofErr w:type="spellEnd"/>
          </w:p>
        </w:tc>
        <w:tc>
          <w:tcPr>
            <w:tcW w:w="1549" w:type="dxa"/>
            <w:shd w:val="clear" w:color="auto" w:fill="DEEAF6" w:themeFill="accent1" w:themeFillTint="33"/>
            <w:vAlign w:val="center"/>
          </w:tcPr>
          <w:p w14:paraId="2F8CD5CE" w14:textId="77777777" w:rsidR="00807728" w:rsidRPr="003D1360" w:rsidRDefault="008077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  <w:p w14:paraId="48F31B96" w14:textId="77777777" w:rsidR="00807728" w:rsidRPr="003D1360" w:rsidRDefault="008077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Korisnik</w:t>
            </w:r>
          </w:p>
          <w:p w14:paraId="16B98473" w14:textId="77777777" w:rsidR="00807728" w:rsidRPr="003D1360" w:rsidRDefault="00807728" w:rsidP="00645F2A">
            <w:pPr>
              <w:tabs>
                <w:tab w:val="left" w:pos="6930"/>
                <w:tab w:val="left" w:pos="933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449AFA0B" w14:textId="1BBEFAE2" w:rsidR="00807728" w:rsidRPr="003D1360" w:rsidRDefault="00807728" w:rsidP="00645F2A">
            <w:pPr>
              <w:tabs>
                <w:tab w:val="left" w:pos="6930"/>
                <w:tab w:val="left" w:pos="933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Rok provedbe</w:t>
            </w:r>
          </w:p>
        </w:tc>
        <w:tc>
          <w:tcPr>
            <w:tcW w:w="3286" w:type="dxa"/>
            <w:shd w:val="clear" w:color="auto" w:fill="DEEAF6" w:themeFill="accent1" w:themeFillTint="33"/>
            <w:vAlign w:val="center"/>
          </w:tcPr>
          <w:p w14:paraId="0A3988F6" w14:textId="34231EE7" w:rsidR="00807728" w:rsidRPr="003D1360" w:rsidRDefault="00807728" w:rsidP="00645F2A">
            <w:pPr>
              <w:tabs>
                <w:tab w:val="left" w:pos="6930"/>
                <w:tab w:val="left" w:pos="933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Bilješka</w:t>
            </w:r>
          </w:p>
        </w:tc>
      </w:tr>
      <w:tr w:rsidR="00CF75D2" w:rsidRPr="003D1360" w14:paraId="2BD82BDD" w14:textId="5058E5AF" w:rsidTr="00A747C2">
        <w:trPr>
          <w:trHeight w:val="2535"/>
        </w:trPr>
        <w:tc>
          <w:tcPr>
            <w:tcW w:w="1149" w:type="dxa"/>
            <w:vMerge w:val="restart"/>
          </w:tcPr>
          <w:p w14:paraId="313F3E45" w14:textId="0BB67D33" w:rsidR="00CF75D2" w:rsidRPr="003D1360" w:rsidRDefault="00CF75D2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  <w:t xml:space="preserve">1. </w:t>
            </w:r>
          </w:p>
        </w:tc>
        <w:tc>
          <w:tcPr>
            <w:tcW w:w="1990" w:type="dxa"/>
            <w:vMerge w:val="restart"/>
          </w:tcPr>
          <w:p w14:paraId="62449D21" w14:textId="57942B25" w:rsidR="00CF75D2" w:rsidRPr="003D1360" w:rsidRDefault="00CF75D2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hr-HR" w:eastAsia="hr-HR"/>
              </w:rPr>
              <w:t xml:space="preserve">Pružanje podrške poduzetnicima u ispunjavanju obveze izvještavanja o održivosti </w:t>
            </w:r>
          </w:p>
        </w:tc>
        <w:tc>
          <w:tcPr>
            <w:tcW w:w="2247" w:type="dxa"/>
          </w:tcPr>
          <w:p w14:paraId="7D4CE070" w14:textId="688DAF2F" w:rsidR="00CF75D2" w:rsidRPr="003D1360" w:rsidRDefault="00CF75D2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Pr="003D13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Razvoj kalkulatora za izračun ugljičnog otiska</w:t>
            </w:r>
          </w:p>
        </w:tc>
        <w:tc>
          <w:tcPr>
            <w:tcW w:w="1363" w:type="dxa"/>
          </w:tcPr>
          <w:p w14:paraId="270A97E7" w14:textId="77777777" w:rsidR="00CF75D2" w:rsidRPr="003D1360" w:rsidRDefault="00CF75D2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FINA</w:t>
            </w:r>
          </w:p>
          <w:p w14:paraId="5C725202" w14:textId="77777777" w:rsidR="00CF75D2" w:rsidRPr="003D1360" w:rsidRDefault="00CF75D2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MZOZT</w:t>
            </w:r>
          </w:p>
          <w:p w14:paraId="094B26A5" w14:textId="425B7F8E" w:rsidR="00CF75D2" w:rsidRPr="003D1360" w:rsidRDefault="00CF75D2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310" w:type="dxa"/>
          </w:tcPr>
          <w:p w14:paraId="23164875" w14:textId="310E0866" w:rsidR="00CF75D2" w:rsidRPr="003D1360" w:rsidRDefault="00CF75D2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MFIN </w:t>
            </w:r>
          </w:p>
        </w:tc>
        <w:tc>
          <w:tcPr>
            <w:tcW w:w="1549" w:type="dxa"/>
          </w:tcPr>
          <w:p w14:paraId="28E6730B" w14:textId="42C86995" w:rsidR="00CF75D2" w:rsidRPr="003D1360" w:rsidRDefault="00CF75D2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Poduzetnici</w:t>
            </w:r>
          </w:p>
        </w:tc>
        <w:tc>
          <w:tcPr>
            <w:tcW w:w="1560" w:type="dxa"/>
          </w:tcPr>
          <w:p w14:paraId="63A83AA1" w14:textId="60872D52" w:rsidR="00CF75D2" w:rsidRPr="003D1360" w:rsidRDefault="00CF75D2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2026.</w:t>
            </w:r>
          </w:p>
        </w:tc>
        <w:tc>
          <w:tcPr>
            <w:tcW w:w="3286" w:type="dxa"/>
          </w:tcPr>
          <w:p w14:paraId="7D704263" w14:textId="7CAB6E1C" w:rsidR="00CF75D2" w:rsidRPr="003D1360" w:rsidRDefault="00CF75D2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Cilj je pružiti poduzetnicima jednostavan alat za izračunavanje njihovog ugljičnog otiska. Kalkulator će omogućiti unos podataka koji će se automatski preračunavati u podatke o emisijama pomoću konverzijskih faktora. </w:t>
            </w:r>
          </w:p>
        </w:tc>
      </w:tr>
      <w:tr w:rsidR="00F77966" w:rsidRPr="003D1360" w14:paraId="41C8247B" w14:textId="31255B21" w:rsidTr="00CF75D2">
        <w:trPr>
          <w:trHeight w:val="317"/>
        </w:trPr>
        <w:tc>
          <w:tcPr>
            <w:tcW w:w="1149" w:type="dxa"/>
            <w:vMerge/>
          </w:tcPr>
          <w:p w14:paraId="1F177FF9" w14:textId="12A8B48A" w:rsidR="00FB5F1E" w:rsidRPr="003D1360" w:rsidRDefault="00FB5F1E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990" w:type="dxa"/>
            <w:vMerge/>
          </w:tcPr>
          <w:p w14:paraId="63954042" w14:textId="1009A85E" w:rsidR="00FB5F1E" w:rsidRPr="003D1360" w:rsidRDefault="00FB5F1E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247" w:type="dxa"/>
          </w:tcPr>
          <w:p w14:paraId="6FCF04C8" w14:textId="5482A665" w:rsidR="00FB5F1E" w:rsidRPr="003D1360" w:rsidRDefault="00FB5F1E" w:rsidP="00DD0551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</w:t>
            </w:r>
            <w:r w:rsidR="00DD055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Pr="003D13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</w:t>
            </w:r>
            <w:r w:rsidR="002559A7" w:rsidRPr="003D13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Izrada smjernica</w:t>
            </w:r>
            <w:r w:rsidRPr="003D13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izvještavanje o održivosti prema CSRD/ESRS-u </w:t>
            </w:r>
          </w:p>
        </w:tc>
        <w:tc>
          <w:tcPr>
            <w:tcW w:w="1363" w:type="dxa"/>
          </w:tcPr>
          <w:p w14:paraId="124B756F" w14:textId="003AE4D2" w:rsidR="00FB5F1E" w:rsidRPr="003D1360" w:rsidRDefault="00FB5F1E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MFIN</w:t>
            </w:r>
            <w:r w:rsidR="002777B5" w:rsidRPr="003D13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u suradnji s</w:t>
            </w:r>
          </w:p>
          <w:p w14:paraId="318BF023" w14:textId="6048E214" w:rsidR="00FB5F1E" w:rsidRPr="003D1360" w:rsidRDefault="00566C17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EK</w:t>
            </w:r>
            <w:r w:rsidR="002777B5" w:rsidRPr="003D13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FB5F1E" w:rsidRPr="003D13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kroz program tehničke pomoći (TSI)</w:t>
            </w:r>
          </w:p>
          <w:p w14:paraId="73F76091" w14:textId="06614E9C" w:rsidR="00FB5F1E" w:rsidRPr="003D1360" w:rsidRDefault="00FB5F1E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310" w:type="dxa"/>
          </w:tcPr>
          <w:p w14:paraId="74409AE0" w14:textId="5E9D7467" w:rsidR="00FB5F1E" w:rsidRPr="003D1360" w:rsidRDefault="00FB5F1E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549" w:type="dxa"/>
          </w:tcPr>
          <w:p w14:paraId="6D827B7C" w14:textId="59878C47" w:rsidR="00FB5F1E" w:rsidRPr="003D1360" w:rsidRDefault="00FB5F1E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Poduzetnici</w:t>
            </w:r>
          </w:p>
        </w:tc>
        <w:tc>
          <w:tcPr>
            <w:tcW w:w="1560" w:type="dxa"/>
          </w:tcPr>
          <w:p w14:paraId="2F4644C3" w14:textId="0A09C19A" w:rsidR="00FB5F1E" w:rsidRPr="003D1360" w:rsidRDefault="003D1360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2026.</w:t>
            </w:r>
          </w:p>
        </w:tc>
        <w:tc>
          <w:tcPr>
            <w:tcW w:w="3286" w:type="dxa"/>
          </w:tcPr>
          <w:p w14:paraId="52B244C2" w14:textId="0BB11AB4" w:rsidR="00FB5F1E" w:rsidRDefault="00FB5F1E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Smjernice će obuhvatiti ključne zahtjeve izvještavanja, poput identifikacije relevantnih podataka, metodologije prikupljanja podataka, te kako pravilno izvještavati o održivosti. </w:t>
            </w:r>
          </w:p>
          <w:p w14:paraId="0125CC12" w14:textId="32752251" w:rsidR="006A7F81" w:rsidRPr="003D1360" w:rsidRDefault="006A7F81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F77966" w:rsidRPr="003D1360" w14:paraId="1F4CE1E1" w14:textId="77777777" w:rsidTr="00D9499E">
        <w:trPr>
          <w:trHeight w:val="318"/>
        </w:trPr>
        <w:tc>
          <w:tcPr>
            <w:tcW w:w="1149" w:type="dxa"/>
            <w:vMerge w:val="restart"/>
          </w:tcPr>
          <w:p w14:paraId="02336C67" w14:textId="573CDB81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  <w:t>2.</w:t>
            </w:r>
          </w:p>
          <w:p w14:paraId="4866C62A" w14:textId="77777777" w:rsidR="001745D4" w:rsidRPr="003D1360" w:rsidRDefault="001745D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0F23354" w14:textId="79FB14C5" w:rsidR="001745D4" w:rsidRPr="003D1360" w:rsidRDefault="001745D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058CE45" w14:textId="677B610D" w:rsidR="001745D4" w:rsidRPr="003D1360" w:rsidRDefault="001745D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3471208" w14:textId="77777777" w:rsidR="001745D4" w:rsidRPr="003D1360" w:rsidRDefault="001745D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990" w:type="dxa"/>
            <w:vMerge w:val="restart"/>
          </w:tcPr>
          <w:p w14:paraId="6C6973B0" w14:textId="5523EA8B" w:rsidR="001745D4" w:rsidRPr="003D1360" w:rsidRDefault="001745D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lastRenderedPageBreak/>
              <w:t>Komunikacijsko-edukativn</w:t>
            </w:r>
            <w:r w:rsidR="006C263F" w:rsidRPr="003D1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e </w:t>
            </w:r>
            <w:r w:rsidR="006A7030" w:rsidRPr="003D1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aktivnosti  </w:t>
            </w:r>
          </w:p>
          <w:p w14:paraId="09D251B6" w14:textId="77777777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247" w:type="dxa"/>
          </w:tcPr>
          <w:p w14:paraId="38C7CEEE" w14:textId="42661351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2.1. Konferencija o održivom razvoju</w:t>
            </w:r>
          </w:p>
          <w:p w14:paraId="64955FA0" w14:textId="665947B8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63" w:type="dxa"/>
          </w:tcPr>
          <w:p w14:paraId="518269E9" w14:textId="2A1508E6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MFIN</w:t>
            </w:r>
          </w:p>
        </w:tc>
        <w:tc>
          <w:tcPr>
            <w:tcW w:w="1310" w:type="dxa"/>
          </w:tcPr>
          <w:p w14:paraId="14185C8A" w14:textId="77777777" w:rsidR="001745D4" w:rsidRPr="003D1360" w:rsidRDefault="00174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MZOZT</w:t>
            </w:r>
          </w:p>
          <w:p w14:paraId="05A2D6D4" w14:textId="466C15FE" w:rsidR="001745D4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HNB HBOR HANFA</w:t>
            </w:r>
          </w:p>
          <w:p w14:paraId="3B9494B4" w14:textId="04392F6F" w:rsidR="00E71EB3" w:rsidRPr="003D1360" w:rsidRDefault="00E71EB3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lastRenderedPageBreak/>
              <w:t>Sveučilište u Zagrebu</w:t>
            </w:r>
          </w:p>
          <w:p w14:paraId="1325F6AD" w14:textId="7531F80A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549" w:type="dxa"/>
          </w:tcPr>
          <w:p w14:paraId="3274F4F5" w14:textId="269A9620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lastRenderedPageBreak/>
              <w:t>Poduzetnici</w:t>
            </w:r>
            <w:r w:rsidR="006A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,</w:t>
            </w:r>
            <w:r w:rsidR="00D94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č</w:t>
            </w: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lanovi Foruma</w:t>
            </w:r>
          </w:p>
        </w:tc>
        <w:tc>
          <w:tcPr>
            <w:tcW w:w="1560" w:type="dxa"/>
          </w:tcPr>
          <w:p w14:paraId="4BE637FD" w14:textId="22482705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2025.</w:t>
            </w:r>
          </w:p>
        </w:tc>
        <w:tc>
          <w:tcPr>
            <w:tcW w:w="3286" w:type="dxa"/>
          </w:tcPr>
          <w:p w14:paraId="2AEB7C7A" w14:textId="77777777" w:rsidR="001745D4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Konferencija na temu podrške održivom financiranju se planira uz financijski podršku </w:t>
            </w: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lastRenderedPageBreak/>
              <w:t xml:space="preserve">Predstavništva </w:t>
            </w:r>
            <w:r w:rsidR="001B6FB1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EK </w:t>
            </w: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u Republici Hrvatskoj.</w:t>
            </w:r>
          </w:p>
          <w:p w14:paraId="59FECEB5" w14:textId="4FCDF2E1" w:rsidR="006A7F81" w:rsidRPr="003D1360" w:rsidRDefault="006A7F81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7966" w:rsidRPr="003D1360" w14:paraId="3AC9D41A" w14:textId="77777777" w:rsidTr="006A7F81">
        <w:trPr>
          <w:trHeight w:val="318"/>
        </w:trPr>
        <w:tc>
          <w:tcPr>
            <w:tcW w:w="1149" w:type="dxa"/>
            <w:vMerge/>
          </w:tcPr>
          <w:p w14:paraId="624623B5" w14:textId="77777777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990" w:type="dxa"/>
            <w:vMerge/>
          </w:tcPr>
          <w:p w14:paraId="37D4D45F" w14:textId="77777777" w:rsidR="001745D4" w:rsidRPr="003D1360" w:rsidRDefault="001745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247" w:type="dxa"/>
          </w:tcPr>
          <w:p w14:paraId="168F9C24" w14:textId="29B5C405" w:rsidR="001745D4" w:rsidRPr="003D1360" w:rsidRDefault="00174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2.2. Izrada edukativnih materijala</w:t>
            </w:r>
          </w:p>
          <w:p w14:paraId="7AE41B2C" w14:textId="77777777" w:rsidR="001745D4" w:rsidRPr="003D1360" w:rsidRDefault="00174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363" w:type="dxa"/>
          </w:tcPr>
          <w:p w14:paraId="4F1D187E" w14:textId="77777777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MFIN</w:t>
            </w:r>
          </w:p>
          <w:p w14:paraId="113EC98D" w14:textId="30688A0D" w:rsidR="001745D4" w:rsidRPr="003D1360" w:rsidRDefault="006C263F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</w:t>
            </w:r>
            <w:r w:rsidR="000E2A91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ANFA</w:t>
            </w: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</w:t>
            </w:r>
          </w:p>
          <w:p w14:paraId="6631A379" w14:textId="77777777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HNB</w:t>
            </w:r>
          </w:p>
          <w:p w14:paraId="1BF35EF2" w14:textId="1A271336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HGK</w:t>
            </w:r>
          </w:p>
        </w:tc>
        <w:tc>
          <w:tcPr>
            <w:tcW w:w="1310" w:type="dxa"/>
          </w:tcPr>
          <w:p w14:paraId="628E3C69" w14:textId="10C3E428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Članovi Foruma </w:t>
            </w:r>
          </w:p>
        </w:tc>
        <w:tc>
          <w:tcPr>
            <w:tcW w:w="1549" w:type="dxa"/>
          </w:tcPr>
          <w:p w14:paraId="1CF7CB03" w14:textId="7C663B9D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Poduzetnici</w:t>
            </w:r>
            <w:r w:rsidR="006A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,</w:t>
            </w:r>
          </w:p>
          <w:p w14:paraId="72339720" w14:textId="1D1694BD" w:rsidR="001745D4" w:rsidRPr="003D1360" w:rsidRDefault="0068649C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f</w:t>
            </w:r>
            <w:r w:rsidR="001745D4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inancijski sektor</w:t>
            </w:r>
            <w:r w:rsidR="006A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,</w:t>
            </w:r>
          </w:p>
          <w:p w14:paraId="05B06177" w14:textId="4C138DC1" w:rsidR="001745D4" w:rsidRPr="003D1360" w:rsidRDefault="0068649C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š</w:t>
            </w:r>
            <w:r w:rsidR="000E2A91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ira</w:t>
            </w:r>
            <w:r w:rsidR="001745D4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javnost </w:t>
            </w:r>
          </w:p>
        </w:tc>
        <w:tc>
          <w:tcPr>
            <w:tcW w:w="1560" w:type="dxa"/>
          </w:tcPr>
          <w:p w14:paraId="5A97B31F" w14:textId="714F350F" w:rsidR="001745D4" w:rsidRPr="003D1360" w:rsidRDefault="003D1360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K</w:t>
            </w:r>
            <w:r w:rsidR="006C263F" w:rsidRPr="003D1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ontinuirano</w:t>
            </w:r>
          </w:p>
        </w:tc>
        <w:tc>
          <w:tcPr>
            <w:tcW w:w="3286" w:type="dxa"/>
            <w:vAlign w:val="center"/>
          </w:tcPr>
          <w:p w14:paraId="6D8CD589" w14:textId="72344548" w:rsidR="001745D4" w:rsidRPr="00120CD6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20C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Nositelji ove mjere će objavljivati razne edukativne </w:t>
            </w:r>
            <w:r w:rsidR="000B1F9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materijale za različite ciljane</w:t>
            </w:r>
            <w:bookmarkStart w:id="0" w:name="_GoBack"/>
            <w:bookmarkEnd w:id="0"/>
            <w:r w:rsidRPr="00120C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skupine s ciljem educiranja na temu održivosti.  Tako će npr. HNB objaviti </w:t>
            </w:r>
            <w:r w:rsidRPr="00120CD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Izvješće o održivosti o tome kako HNB u praksi integrira principe održivosti u svoje poslovanje. Uz podatke o uključivanju klimatskih rizika u aktivnosti HNB-a, izvješće će obuhvatiti i analizu vlastitog ugljičnog otiska te postojeće i nove mjere za njegovo smanjenje.</w:t>
            </w:r>
          </w:p>
          <w:p w14:paraId="08BFA281" w14:textId="5BCAC90C" w:rsidR="006A7F81" w:rsidRPr="00470EDD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20CD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MFIN će objaviti nekoliko brošura na temu održivosti namijenjenu rukovodstvu/revizorima</w:t>
            </w:r>
            <w:r w:rsidR="002777B5" w:rsidRPr="00120CD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, a HGK planira ESG vodič, koji je izdao 2024., upotpuniti sa najnovijim relevantnim informacijama i regulativom iz područja održivosti</w:t>
            </w:r>
            <w:r w:rsidR="006C263F" w:rsidRPr="00120CD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. </w:t>
            </w:r>
            <w:r w:rsidR="000E2A91" w:rsidRPr="00120CD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HANFA</w:t>
            </w:r>
            <w:r w:rsidR="00342BDB" w:rsidRPr="00120CD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će</w:t>
            </w:r>
            <w:r w:rsidR="006C263F" w:rsidRPr="00120CD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izrađivati edukativne materijale (letke, tekstove, članke) i objavljivati ih na internetskoj stranici H</w:t>
            </w:r>
            <w:r w:rsidR="000E2A91" w:rsidRPr="00120CD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ANFA-e</w:t>
            </w:r>
            <w:r w:rsidR="006C263F" w:rsidRPr="00120CD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i </w:t>
            </w:r>
            <w:r w:rsidR="00342BDB" w:rsidRPr="00120CD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na </w:t>
            </w:r>
            <w:r w:rsidR="006C263F" w:rsidRPr="00120CD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portalu Novac za sutra</w:t>
            </w:r>
            <w:r w:rsidR="00FD3241" w:rsidRPr="00120CD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</w:tr>
      <w:tr w:rsidR="00F77966" w:rsidRPr="003D1360" w14:paraId="080A5BBB" w14:textId="77777777" w:rsidTr="006A7F81">
        <w:trPr>
          <w:trHeight w:val="318"/>
        </w:trPr>
        <w:tc>
          <w:tcPr>
            <w:tcW w:w="1149" w:type="dxa"/>
            <w:vMerge/>
          </w:tcPr>
          <w:p w14:paraId="10AD7D22" w14:textId="77777777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990" w:type="dxa"/>
            <w:vMerge/>
          </w:tcPr>
          <w:p w14:paraId="6AA64C47" w14:textId="77777777" w:rsidR="001745D4" w:rsidRPr="003D1360" w:rsidRDefault="001745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247" w:type="dxa"/>
          </w:tcPr>
          <w:p w14:paraId="08C93236" w14:textId="76049563" w:rsidR="001745D4" w:rsidRPr="003D1360" w:rsidRDefault="00174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2.3. Edukacija</w:t>
            </w:r>
            <w:r w:rsidR="006A7030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i</w:t>
            </w:r>
            <w:r w:rsidR="006C263F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r w:rsidR="006A7030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promoviranje ulaganja u aktivnosti povezane s prilagodbom klimatskim promjenama i </w:t>
            </w:r>
            <w:proofErr w:type="spellStart"/>
            <w:r w:rsidR="006A7030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niskougljične</w:t>
            </w:r>
            <w:proofErr w:type="spellEnd"/>
            <w:r w:rsidR="006A7030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tehnologije  </w:t>
            </w:r>
          </w:p>
        </w:tc>
        <w:tc>
          <w:tcPr>
            <w:tcW w:w="1363" w:type="dxa"/>
          </w:tcPr>
          <w:p w14:paraId="2998031B" w14:textId="51D295E7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Članovi Foruma </w:t>
            </w:r>
          </w:p>
        </w:tc>
        <w:tc>
          <w:tcPr>
            <w:tcW w:w="1310" w:type="dxa"/>
          </w:tcPr>
          <w:p w14:paraId="47BBF335" w14:textId="77777777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549" w:type="dxa"/>
          </w:tcPr>
          <w:p w14:paraId="21D980EB" w14:textId="468E74C2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Poduzetnici</w:t>
            </w:r>
            <w:r w:rsidR="006A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,</w:t>
            </w: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</w:t>
            </w:r>
          </w:p>
          <w:p w14:paraId="106E0E46" w14:textId="6E142F29" w:rsidR="001745D4" w:rsidRPr="003D1360" w:rsidRDefault="0068649C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š</w:t>
            </w:r>
            <w:r w:rsidR="000E2A91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ira </w:t>
            </w:r>
            <w:r w:rsidR="001745D4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javnost </w:t>
            </w:r>
          </w:p>
        </w:tc>
        <w:tc>
          <w:tcPr>
            <w:tcW w:w="1560" w:type="dxa"/>
          </w:tcPr>
          <w:p w14:paraId="69265AFC" w14:textId="18B53B38" w:rsidR="001745D4" w:rsidRPr="003D1360" w:rsidRDefault="003D1360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K</w:t>
            </w:r>
            <w:r w:rsidR="006A7030" w:rsidRPr="003D1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ontinuirano</w:t>
            </w:r>
          </w:p>
        </w:tc>
        <w:tc>
          <w:tcPr>
            <w:tcW w:w="3286" w:type="dxa"/>
            <w:vAlign w:val="center"/>
          </w:tcPr>
          <w:p w14:paraId="3FC27112" w14:textId="4A8895A5" w:rsidR="001745D4" w:rsidRPr="00120CD6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20CD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Članovi Foruma će promovira</w:t>
            </w:r>
            <w:r w:rsidR="006A7030" w:rsidRPr="00120CD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ti</w:t>
            </w:r>
            <w:r w:rsidRPr="00120CD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ulaganja u aktivnosti povezane s prilagodbom klimatskim promjenama te u </w:t>
            </w:r>
            <w:proofErr w:type="spellStart"/>
            <w:r w:rsidRPr="00120CD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niskougljične</w:t>
            </w:r>
            <w:proofErr w:type="spellEnd"/>
            <w:r w:rsidRPr="00120CD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tehnologije. </w:t>
            </w:r>
          </w:p>
          <w:p w14:paraId="3FDB95B3" w14:textId="79F7B943" w:rsidR="00F71C1F" w:rsidRPr="00120CD6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20CD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Također, članovi Foruma će provoditi edukativne aktivnosti posvećene raznovrsnim temama unutar zakonodavnog okvira održivog financiranja.  </w:t>
            </w:r>
          </w:p>
          <w:p w14:paraId="6D7FBF68" w14:textId="17F847AA" w:rsidR="004636D8" w:rsidRPr="00120CD6" w:rsidRDefault="00F71C1F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20C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Tako će primjerice, HNB na tu temu organizirati predavanja u sklopu Centra za posjetitelje i </w:t>
            </w:r>
            <w:proofErr w:type="spellStart"/>
            <w:r w:rsidRPr="00120C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Moneterre</w:t>
            </w:r>
            <w:proofErr w:type="spellEnd"/>
            <w:r w:rsidRPr="00120C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te će na taj način provoditi edukaciju studenata i šire javnosti. </w:t>
            </w:r>
            <w:r w:rsidR="000E2A91" w:rsidRPr="00120C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HANFA</w:t>
            </w:r>
            <w:r w:rsidRPr="00120C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planira održavati edukacije usmjerene prema široj javnosti, ali i prema specifičnim ciljnim skupinama kao što su studenti i učenici. U okviru svojih edukativnih programa </w:t>
            </w:r>
            <w:r w:rsidR="000E2A91" w:rsidRPr="00120C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HANFA</w:t>
            </w:r>
            <w:r w:rsidRPr="00120C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već uvrstila i temu zelenih financija. Uz to, </w:t>
            </w:r>
            <w:r w:rsidR="000E2A91" w:rsidRPr="00120C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HANFA</w:t>
            </w:r>
            <w:r w:rsidRPr="00120C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planira na svojoj internetskoj stranici i portalu Novac za sutra objavljivati sve relevantne informacije o održivom financiranju, kao i mogućnosti investiranja u financijske proizvode koji promiču ESG </w:t>
            </w:r>
            <w:r w:rsidRPr="00120C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obilježja i/ili su vezani za održiva ulaganja.</w:t>
            </w:r>
          </w:p>
          <w:p w14:paraId="310CDC0B" w14:textId="39270548" w:rsidR="004636D8" w:rsidRPr="00120CD6" w:rsidRDefault="004636D8" w:rsidP="0064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120C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Dodatno, IICA organizirati </w:t>
            </w:r>
            <w:r w:rsidR="00765711" w:rsidRPr="00120C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će </w:t>
            </w:r>
            <w:r w:rsidRPr="00120C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nteraktivnu radionicu s ciljem pružanja sveobuhvatnog pregleda ključnih tema, izazova i prilika na kojoj će se obraditi ESG trendovi, važnost metodološkog pristupa, ESG strategija, dvostruka značajnost i izjava o održivosti – praktični savjeti, klimatski rizici, EU Taksonomija, CO2 otisak - ključne smjernice i regulatorni zahtjevi. Istaknut će se </w:t>
            </w:r>
            <w:r w:rsidR="00114AA9"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i</w:t>
            </w:r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važnost edukacije upravljačkih tijela te važnost ESG edukacija</w:t>
            </w:r>
            <w:r w:rsidR="00CC6BED"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</w:t>
            </w:r>
          </w:p>
          <w:p w14:paraId="29027E10" w14:textId="48A5FA8A" w:rsidR="00CC6BED" w:rsidRPr="00120CD6" w:rsidRDefault="00CC6BED" w:rsidP="0064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120CD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HGK </w:t>
            </w:r>
            <w:proofErr w:type="spellStart"/>
            <w:r w:rsidRPr="00120CD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će</w:t>
            </w:r>
            <w:proofErr w:type="spellEnd"/>
            <w:r w:rsidRPr="00120CD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20CD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kontinuirano</w:t>
            </w:r>
            <w:proofErr w:type="spellEnd"/>
            <w:r w:rsidRPr="00120CD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20CD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provoditi</w:t>
            </w:r>
            <w:proofErr w:type="spellEnd"/>
            <w:r w:rsidRPr="00120CD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20CD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tematske</w:t>
            </w:r>
            <w:proofErr w:type="spellEnd"/>
            <w:r w:rsidRPr="00120CD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20CD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radionice</w:t>
            </w:r>
            <w:proofErr w:type="spellEnd"/>
            <w:r w:rsidRPr="00120CD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 u </w:t>
            </w:r>
            <w:proofErr w:type="spellStart"/>
            <w:r w:rsidRPr="00120CD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okviru</w:t>
            </w:r>
            <w:proofErr w:type="spellEnd"/>
            <w:r w:rsidRPr="00120CD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 ESG </w:t>
            </w:r>
            <w:proofErr w:type="spellStart"/>
            <w:r w:rsidRPr="00120CD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Akademije</w:t>
            </w:r>
            <w:proofErr w:type="spellEnd"/>
            <w:r w:rsidRPr="00120CD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14:paraId="7F7D614A" w14:textId="1A96A364" w:rsidR="004636D8" w:rsidRPr="00120CD6" w:rsidRDefault="004636D8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A7030" w:rsidRPr="003D1360" w14:paraId="7576BCD0" w14:textId="77777777" w:rsidTr="00A747C2">
        <w:trPr>
          <w:trHeight w:val="473"/>
        </w:trPr>
        <w:tc>
          <w:tcPr>
            <w:tcW w:w="1149" w:type="dxa"/>
            <w:vMerge/>
          </w:tcPr>
          <w:p w14:paraId="7D2B7FD7" w14:textId="77777777" w:rsidR="006A7030" w:rsidRPr="003D1360" w:rsidRDefault="006A7030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990" w:type="dxa"/>
            <w:vMerge/>
          </w:tcPr>
          <w:p w14:paraId="08D4656D" w14:textId="77777777" w:rsidR="006A7030" w:rsidRPr="003D1360" w:rsidRDefault="006A70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247" w:type="dxa"/>
          </w:tcPr>
          <w:p w14:paraId="5743C610" w14:textId="3B473944" w:rsidR="006A7030" w:rsidRPr="003D1360" w:rsidRDefault="006A7030" w:rsidP="00645F2A">
            <w:pPr>
              <w:pStyle w:val="Odlomakpopis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2.4. Informiranje javnosti </w:t>
            </w:r>
            <w:r w:rsidR="00F71C1F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i komunikacija s medijima </w:t>
            </w:r>
          </w:p>
        </w:tc>
        <w:tc>
          <w:tcPr>
            <w:tcW w:w="1363" w:type="dxa"/>
          </w:tcPr>
          <w:p w14:paraId="5E1227E1" w14:textId="4533B8A0" w:rsidR="006A7030" w:rsidRPr="003D1360" w:rsidRDefault="00F71C1F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Članovi Foruma</w:t>
            </w:r>
          </w:p>
        </w:tc>
        <w:tc>
          <w:tcPr>
            <w:tcW w:w="1310" w:type="dxa"/>
          </w:tcPr>
          <w:p w14:paraId="7990DB4B" w14:textId="77777777" w:rsidR="006A7030" w:rsidRPr="003D1360" w:rsidRDefault="006A7030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549" w:type="dxa"/>
          </w:tcPr>
          <w:p w14:paraId="4539D66A" w14:textId="51476F26" w:rsidR="006A7030" w:rsidRPr="003D1360" w:rsidRDefault="000E2A91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Šira</w:t>
            </w:r>
            <w:r w:rsidR="00F71C1F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javnost</w:t>
            </w:r>
          </w:p>
        </w:tc>
        <w:tc>
          <w:tcPr>
            <w:tcW w:w="1560" w:type="dxa"/>
          </w:tcPr>
          <w:p w14:paraId="56E3783F" w14:textId="399899D3" w:rsidR="006A7030" w:rsidRPr="003D1360" w:rsidRDefault="003D1360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K</w:t>
            </w:r>
            <w:r w:rsidR="00F71C1F" w:rsidRPr="003D1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ontinuirano</w:t>
            </w:r>
          </w:p>
        </w:tc>
        <w:tc>
          <w:tcPr>
            <w:tcW w:w="3286" w:type="dxa"/>
          </w:tcPr>
          <w:p w14:paraId="3E1CE7CC" w14:textId="0AA55A62" w:rsidR="00F71C1F" w:rsidRPr="00120CD6" w:rsidRDefault="00F71C1F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Članovi Foruma će kontinuirano voditi rač</w:t>
            </w:r>
            <w:r w:rsidR="00114AA9"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u</w:t>
            </w:r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na o pravodobnim objavama svih relevantnih informacija za industriju, ali i za potrošače o održivom financiranju. </w:t>
            </w:r>
          </w:p>
          <w:p w14:paraId="6D00C821" w14:textId="175292A8" w:rsidR="006A7030" w:rsidRPr="00120CD6" w:rsidRDefault="00F71C1F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Članovi Foruma će gostovati u medijima i tijekom tih gostovanja promovirati temu održivog financiranja.</w:t>
            </w:r>
          </w:p>
          <w:p w14:paraId="6F88FD9F" w14:textId="3470F8AD" w:rsidR="00F71C1F" w:rsidRPr="00120CD6" w:rsidRDefault="00F71C1F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F77966" w:rsidRPr="003D1360" w14:paraId="3379D32E" w14:textId="77777777" w:rsidTr="006A7F81">
        <w:trPr>
          <w:trHeight w:val="318"/>
        </w:trPr>
        <w:tc>
          <w:tcPr>
            <w:tcW w:w="1149" w:type="dxa"/>
            <w:vMerge/>
          </w:tcPr>
          <w:p w14:paraId="268B82AB" w14:textId="77777777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990" w:type="dxa"/>
            <w:vMerge/>
          </w:tcPr>
          <w:p w14:paraId="5120A13A" w14:textId="77777777" w:rsidR="001745D4" w:rsidRPr="003D1360" w:rsidRDefault="001745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247" w:type="dxa"/>
          </w:tcPr>
          <w:p w14:paraId="6BD6165E" w14:textId="728693C6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2.5. Informiranje relevantnih institucija u odnosu na aktivnosti na razini EU u svrhu smanjenja </w:t>
            </w:r>
            <w:proofErr w:type="spellStart"/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osigurateljnog</w:t>
            </w:r>
            <w:proofErr w:type="spellEnd"/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jaza, prikupljanje i objava dodatnih informacija i podataka o proizvodima osigur</w:t>
            </w:r>
            <w:r w:rsidR="006F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anja i pokrivenosti osiguranjem</w:t>
            </w:r>
          </w:p>
        </w:tc>
        <w:tc>
          <w:tcPr>
            <w:tcW w:w="1363" w:type="dxa"/>
          </w:tcPr>
          <w:p w14:paraId="0F250E5C" w14:textId="1BE03B42" w:rsidR="001745D4" w:rsidRPr="003D1360" w:rsidRDefault="000E2A91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HANFA</w:t>
            </w:r>
          </w:p>
        </w:tc>
        <w:tc>
          <w:tcPr>
            <w:tcW w:w="1310" w:type="dxa"/>
          </w:tcPr>
          <w:p w14:paraId="1BA49CCA" w14:textId="77777777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549" w:type="dxa"/>
          </w:tcPr>
          <w:p w14:paraId="151FC229" w14:textId="27F46E42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Industrija osiguranja, uključujući društva za osiguranje i potrošače, ostali zainteresirani dionici</w:t>
            </w:r>
          </w:p>
        </w:tc>
        <w:tc>
          <w:tcPr>
            <w:tcW w:w="1560" w:type="dxa"/>
          </w:tcPr>
          <w:p w14:paraId="7E684B06" w14:textId="7857B86B" w:rsidR="001745D4" w:rsidRPr="003D1360" w:rsidRDefault="003D1360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K</w:t>
            </w:r>
            <w:r w:rsidR="001745D4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ontinuirano</w:t>
            </w:r>
          </w:p>
        </w:tc>
        <w:tc>
          <w:tcPr>
            <w:tcW w:w="3286" w:type="dxa"/>
            <w:vAlign w:val="center"/>
          </w:tcPr>
          <w:p w14:paraId="303FE284" w14:textId="573F308D" w:rsidR="001745D4" w:rsidRPr="00120CD6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EIOPA i EBA su objavile dokumente pod nazivom </w:t>
            </w:r>
            <w:hyperlink r:id="rId13" w:history="1">
              <w:r w:rsidRPr="00120CD6">
                <w:rPr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lang w:val="hr-HR" w:eastAsia="hr-HR"/>
                </w:rPr>
                <w:t>Nacrt za unificirani EU pristup za upravljanje rizikom prirodnih katastrofa</w:t>
              </w:r>
            </w:hyperlink>
            <w:r w:rsidRPr="00120C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hr-HR" w:eastAsia="hr-HR"/>
              </w:rPr>
              <w:t>.</w:t>
            </w:r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U dokumentu, između ostalog, spominje se prostor za intervenciju javnog sektora kako bi se poboljšala </w:t>
            </w:r>
            <w:proofErr w:type="spellStart"/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osigurateljna</w:t>
            </w:r>
            <w:proofErr w:type="spellEnd"/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pokrivenost prirodnih katastrofa na način da nacionalni programi dopunjuju pokriće privatnog osiguranja (javno-privatna partnerstva). </w:t>
            </w:r>
          </w:p>
          <w:p w14:paraId="021324DD" w14:textId="77777777" w:rsidR="001745D4" w:rsidRPr="00120CD6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F77966" w:rsidRPr="003D1360" w14:paraId="182C8C29" w14:textId="77777777" w:rsidTr="006A7F81">
        <w:trPr>
          <w:trHeight w:val="318"/>
        </w:trPr>
        <w:tc>
          <w:tcPr>
            <w:tcW w:w="1149" w:type="dxa"/>
            <w:vMerge w:val="restart"/>
          </w:tcPr>
          <w:p w14:paraId="11086A97" w14:textId="14D5D313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  <w:t>3.</w:t>
            </w:r>
          </w:p>
        </w:tc>
        <w:tc>
          <w:tcPr>
            <w:tcW w:w="1990" w:type="dxa"/>
            <w:vMerge w:val="restart"/>
          </w:tcPr>
          <w:p w14:paraId="0AEDEEE9" w14:textId="5AC7ABF5" w:rsidR="001745D4" w:rsidRPr="003D1360" w:rsidRDefault="001745D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Podrška i jačanje financijskog sektora u području održivog financiranja</w:t>
            </w:r>
          </w:p>
        </w:tc>
        <w:tc>
          <w:tcPr>
            <w:tcW w:w="2247" w:type="dxa"/>
          </w:tcPr>
          <w:p w14:paraId="64F32221" w14:textId="5A4E7E1B" w:rsidR="00470EDD" w:rsidRPr="003D1360" w:rsidRDefault="001745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3.1.</w:t>
            </w:r>
            <w:r w:rsidR="006A7F8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Pr="003D13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Edukacija financijskog sektora kroz EIB program tehničke pomoći pod nazivom Zeleni prolaz (engl</w:t>
            </w:r>
            <w:r w:rsidRPr="003D13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hr-HR"/>
              </w:rPr>
              <w:t xml:space="preserve">. Green </w:t>
            </w:r>
            <w:proofErr w:type="spellStart"/>
            <w:r w:rsidRPr="003D13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hr-HR"/>
              </w:rPr>
              <w:t>Gateway</w:t>
            </w:r>
            <w:proofErr w:type="spellEnd"/>
            <w:r w:rsidRPr="003D13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)</w:t>
            </w:r>
          </w:p>
        </w:tc>
        <w:tc>
          <w:tcPr>
            <w:tcW w:w="1363" w:type="dxa"/>
          </w:tcPr>
          <w:p w14:paraId="5E7142C0" w14:textId="3DE14E6F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EIB</w:t>
            </w:r>
          </w:p>
        </w:tc>
        <w:tc>
          <w:tcPr>
            <w:tcW w:w="1310" w:type="dxa"/>
          </w:tcPr>
          <w:p w14:paraId="5D636A34" w14:textId="77777777" w:rsidR="001745D4" w:rsidRPr="003D1360" w:rsidDel="001817BF" w:rsidRDefault="00174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 w:rsidDel="00181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MFIN</w:t>
            </w:r>
          </w:p>
          <w:p w14:paraId="3A1A95C5" w14:textId="49EE23CF" w:rsidR="001745D4" w:rsidRPr="003D1360" w:rsidDel="001817BF" w:rsidRDefault="00174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 w:rsidDel="00181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HBOR</w:t>
            </w:r>
          </w:p>
        </w:tc>
        <w:tc>
          <w:tcPr>
            <w:tcW w:w="1549" w:type="dxa"/>
          </w:tcPr>
          <w:p w14:paraId="28F06E20" w14:textId="193A4F53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Financijski sektor</w:t>
            </w:r>
          </w:p>
        </w:tc>
        <w:tc>
          <w:tcPr>
            <w:tcW w:w="1560" w:type="dxa"/>
          </w:tcPr>
          <w:p w14:paraId="2ABD8703" w14:textId="77777777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286" w:type="dxa"/>
          </w:tcPr>
          <w:p w14:paraId="43F13935" w14:textId="3A7EB9BB" w:rsidR="001745D4" w:rsidRPr="00120CD6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20CD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Kroz projekt tehničke pomoći kojeg je HBOR potpisao s EIB-om, pružit će se savjetodavne usluge i treninzi članovima Foruma iz područja održivog financiranja.</w:t>
            </w:r>
          </w:p>
        </w:tc>
      </w:tr>
      <w:tr w:rsidR="00F77966" w:rsidRPr="003D1360" w14:paraId="5CE2A8FD" w14:textId="77777777" w:rsidTr="006A7F81">
        <w:trPr>
          <w:trHeight w:val="318"/>
        </w:trPr>
        <w:tc>
          <w:tcPr>
            <w:tcW w:w="1149" w:type="dxa"/>
            <w:vMerge/>
          </w:tcPr>
          <w:p w14:paraId="3D76A6A7" w14:textId="77777777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990" w:type="dxa"/>
            <w:vMerge/>
          </w:tcPr>
          <w:p w14:paraId="0BE42AB0" w14:textId="77777777" w:rsidR="001745D4" w:rsidRPr="003D1360" w:rsidRDefault="001745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247" w:type="dxa"/>
          </w:tcPr>
          <w:p w14:paraId="4B46697E" w14:textId="4D5DD7A8" w:rsidR="001745D4" w:rsidRPr="003D1360" w:rsidRDefault="001745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3.2. Integracija okolišnih rizika u nadzorne metodologije i potpuna integracija u poslovne procese i sustave upravljanja kreditnih institucija</w:t>
            </w:r>
          </w:p>
        </w:tc>
        <w:tc>
          <w:tcPr>
            <w:tcW w:w="1363" w:type="dxa"/>
          </w:tcPr>
          <w:p w14:paraId="6749F285" w14:textId="552B233A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HNB</w:t>
            </w:r>
          </w:p>
        </w:tc>
        <w:tc>
          <w:tcPr>
            <w:tcW w:w="1310" w:type="dxa"/>
          </w:tcPr>
          <w:p w14:paraId="1AE9B9CD" w14:textId="77777777" w:rsidR="001745D4" w:rsidRPr="003D1360" w:rsidDel="001817BF" w:rsidRDefault="00174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549" w:type="dxa"/>
          </w:tcPr>
          <w:p w14:paraId="1389AD04" w14:textId="7B796331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HNB i kreditne institucije</w:t>
            </w:r>
          </w:p>
        </w:tc>
        <w:tc>
          <w:tcPr>
            <w:tcW w:w="1560" w:type="dxa"/>
          </w:tcPr>
          <w:p w14:paraId="23BF2721" w14:textId="36EEF33F" w:rsidR="001745D4" w:rsidRPr="003D1360" w:rsidRDefault="0068649C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K</w:t>
            </w:r>
            <w:r w:rsidR="006C263F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ontinuirano</w:t>
            </w:r>
          </w:p>
        </w:tc>
        <w:tc>
          <w:tcPr>
            <w:tcW w:w="3286" w:type="dxa"/>
            <w:vAlign w:val="center"/>
          </w:tcPr>
          <w:p w14:paraId="3EAD0AEB" w14:textId="77777777" w:rsidR="001745D4" w:rsidRPr="00120CD6" w:rsidRDefault="00174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Klimatski rizici sve su češće prepoznati kao važan izvor financijskih rizika, što je 2018. godine potvrdila i Mreža središnjih banaka i nadzornih tijela za ozelenjivanje financijskog sustava. Odgovarajuće upravljanje ovim rizicima ključno je za ostvarivanje cilja postizanja nulte neto stope emisija </w:t>
            </w:r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lastRenderedPageBreak/>
              <w:t>stakleničkih plinova do 2050. godine, uz očuvanje financijske stabilnosti.</w:t>
            </w:r>
          </w:p>
          <w:p w14:paraId="774CEB0F" w14:textId="77777777" w:rsidR="001745D4" w:rsidRPr="00120CD6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6C263F" w:rsidRPr="003D1360" w14:paraId="317279D3" w14:textId="77777777" w:rsidTr="00A747C2">
        <w:trPr>
          <w:trHeight w:val="318"/>
        </w:trPr>
        <w:tc>
          <w:tcPr>
            <w:tcW w:w="1149" w:type="dxa"/>
            <w:vMerge/>
          </w:tcPr>
          <w:p w14:paraId="5621C712" w14:textId="77777777" w:rsidR="006C263F" w:rsidRPr="003D1360" w:rsidRDefault="006C263F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990" w:type="dxa"/>
            <w:vMerge/>
          </w:tcPr>
          <w:p w14:paraId="68DECF22" w14:textId="77777777" w:rsidR="006C263F" w:rsidRPr="003D1360" w:rsidRDefault="006C2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247" w:type="dxa"/>
          </w:tcPr>
          <w:p w14:paraId="46BD4423" w14:textId="3A03C63B" w:rsidR="006C263F" w:rsidRPr="003D1360" w:rsidRDefault="006C2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3.3. Objave nadzornih očekivanja/rezultata analiza/zaključaka nadzora te odgovori i pojašnjenja na postavljena pitanja subjekata</w:t>
            </w:r>
            <w:r w:rsidR="001B6FB1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nadzora</w:t>
            </w:r>
          </w:p>
        </w:tc>
        <w:tc>
          <w:tcPr>
            <w:tcW w:w="1363" w:type="dxa"/>
          </w:tcPr>
          <w:p w14:paraId="65EBC50F" w14:textId="2AA80B55" w:rsidR="006C263F" w:rsidRPr="003D1360" w:rsidRDefault="000E2A91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HANFA</w:t>
            </w:r>
          </w:p>
        </w:tc>
        <w:tc>
          <w:tcPr>
            <w:tcW w:w="1310" w:type="dxa"/>
          </w:tcPr>
          <w:p w14:paraId="20F3C231" w14:textId="77777777" w:rsidR="006C263F" w:rsidRPr="003D1360" w:rsidDel="001817BF" w:rsidRDefault="006C2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549" w:type="dxa"/>
          </w:tcPr>
          <w:p w14:paraId="426DA14D" w14:textId="0BC791E6" w:rsidR="006C263F" w:rsidRPr="003D1360" w:rsidRDefault="006C263F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Primarno za subjekte </w:t>
            </w:r>
            <w:r w:rsidR="001B6FB1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nadzora </w:t>
            </w: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na koje se </w:t>
            </w:r>
            <w:r w:rsidR="001B6FB1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zakonski okvir </w:t>
            </w: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primjenjuje (dodatno i zainteresirana javnost)</w:t>
            </w:r>
          </w:p>
        </w:tc>
        <w:tc>
          <w:tcPr>
            <w:tcW w:w="1560" w:type="dxa"/>
          </w:tcPr>
          <w:p w14:paraId="02D1D61A" w14:textId="71A53D2C" w:rsidR="006C263F" w:rsidRPr="003D1360" w:rsidRDefault="0068649C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K</w:t>
            </w:r>
            <w:r w:rsidR="006C263F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ontinuirano</w:t>
            </w:r>
          </w:p>
        </w:tc>
        <w:tc>
          <w:tcPr>
            <w:tcW w:w="3286" w:type="dxa"/>
          </w:tcPr>
          <w:p w14:paraId="1D678BC0" w14:textId="77777777" w:rsidR="006C263F" w:rsidRPr="00120CD6" w:rsidRDefault="000E2A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HANFA</w:t>
            </w:r>
            <w:r w:rsidR="006C263F"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će na svojoj web stranici, unutar nove </w:t>
            </w:r>
            <w:proofErr w:type="spellStart"/>
            <w:r w:rsidR="006C263F"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podstranice</w:t>
            </w:r>
            <w:proofErr w:type="spellEnd"/>
            <w:r w:rsidR="006C263F"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pod nazivom Održivo financiranje, redovito objavljivati nadzorna očekivanja, odgovore na postavljena pitanja, rezultate provedenih analiza te zaključke nadzora. Ovi će sadržaji biti relevantni za sve subjekte pod nadzorom </w:t>
            </w:r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HANFA-e</w:t>
            </w:r>
            <w:r w:rsidR="006C263F"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obuhvaćene zakonodavnim okvirom održivog financiranja.</w:t>
            </w:r>
          </w:p>
          <w:p w14:paraId="470F4FBA" w14:textId="00BE3E45" w:rsidR="006A7F81" w:rsidRPr="00120CD6" w:rsidRDefault="006A7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F77966" w:rsidRPr="003D1360" w14:paraId="6EB32DCB" w14:textId="77777777" w:rsidTr="00A747C2">
        <w:trPr>
          <w:trHeight w:val="318"/>
        </w:trPr>
        <w:tc>
          <w:tcPr>
            <w:tcW w:w="1149" w:type="dxa"/>
            <w:vMerge/>
          </w:tcPr>
          <w:p w14:paraId="37992A2F" w14:textId="77777777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990" w:type="dxa"/>
            <w:vMerge/>
          </w:tcPr>
          <w:p w14:paraId="09F41DB3" w14:textId="77777777" w:rsidR="001745D4" w:rsidRPr="003D1360" w:rsidRDefault="001745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247" w:type="dxa"/>
          </w:tcPr>
          <w:p w14:paraId="75242095" w14:textId="5C7EEDDB" w:rsidR="001745D4" w:rsidRPr="003D1360" w:rsidRDefault="00174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3.</w:t>
            </w:r>
            <w:r w:rsidR="006C263F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4</w:t>
            </w: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</w:t>
            </w:r>
            <w:r w:rsidRPr="003D13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Provođenje edukacija za supervizore i kreditne institucije te razvoj i dijeljenje najboljih praksi upravljanja ESG rizicima</w:t>
            </w:r>
          </w:p>
        </w:tc>
        <w:tc>
          <w:tcPr>
            <w:tcW w:w="1363" w:type="dxa"/>
          </w:tcPr>
          <w:p w14:paraId="0602FC0D" w14:textId="4E48F6B4" w:rsidR="001745D4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HNB</w:t>
            </w:r>
          </w:p>
        </w:tc>
        <w:tc>
          <w:tcPr>
            <w:tcW w:w="1310" w:type="dxa"/>
          </w:tcPr>
          <w:p w14:paraId="3B8C4561" w14:textId="77777777" w:rsidR="001745D4" w:rsidRPr="003D1360" w:rsidDel="001817BF" w:rsidRDefault="00174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549" w:type="dxa"/>
          </w:tcPr>
          <w:p w14:paraId="0F4E7F18" w14:textId="2983C4B7" w:rsidR="001745D4" w:rsidRPr="003D1360" w:rsidRDefault="006A7F81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HNB i k</w:t>
            </w:r>
            <w:r w:rsidR="001745D4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reditne institucije</w:t>
            </w:r>
          </w:p>
        </w:tc>
        <w:tc>
          <w:tcPr>
            <w:tcW w:w="1560" w:type="dxa"/>
          </w:tcPr>
          <w:p w14:paraId="516E81ED" w14:textId="52851A37" w:rsidR="001745D4" w:rsidRPr="003D1360" w:rsidRDefault="0068649C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K</w:t>
            </w:r>
            <w:r w:rsidR="006C263F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ontinuirano</w:t>
            </w:r>
          </w:p>
        </w:tc>
        <w:tc>
          <w:tcPr>
            <w:tcW w:w="3286" w:type="dxa"/>
          </w:tcPr>
          <w:p w14:paraId="2B7319DA" w14:textId="74C3E94D" w:rsidR="00057A8F" w:rsidRPr="00120CD6" w:rsidRDefault="00057A8F" w:rsidP="001B6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Kako bi se suočile s izazovima upravljanja ESG rizicima, kreditne institucije, u okviru svog upravljanja ESG rizicima, dužne su razviti i posebne planove prilagodbe koji pokrivaju kratkoročne, srednjoročne i dugoročne učinke ESG čimbenika na njihovo poslovanje. Ti planovi moraju uzeti u obzir regulatorne ciljeve Europske unije i država članica, kao što su Pariški sporazum, Uredba </w:t>
            </w:r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lastRenderedPageBreak/>
              <w:t xml:space="preserve">(EU) 2021/1119, paket „Spremni za 55 %” te globalni okvir za </w:t>
            </w:r>
            <w:proofErr w:type="spellStart"/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bioraznolikost</w:t>
            </w:r>
            <w:proofErr w:type="spellEnd"/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iz </w:t>
            </w:r>
            <w:proofErr w:type="spellStart"/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Kunminga</w:t>
            </w:r>
            <w:proofErr w:type="spellEnd"/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i Montreala.</w:t>
            </w:r>
          </w:p>
          <w:p w14:paraId="5E8D7CEA" w14:textId="77777777" w:rsidR="00057A8F" w:rsidRPr="00120CD6" w:rsidRDefault="00057A8F" w:rsidP="001B6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HNB će, u suradnji s ECB-om, kontinuirano pratiti napredak u prilagodbi kreditnih institucija, te će predložiti ciljane edukacije za supervizore i kreditne institucije kako bi se osiguralo što efikasnije upravljanje klimatskim rizicima ili rizicima povezanima s okolišem i </w:t>
            </w:r>
            <w:proofErr w:type="spellStart"/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bioraznolikošću</w:t>
            </w:r>
            <w:proofErr w:type="spellEnd"/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te spriječilo ugrožavanje stabilnost pojedinačnih institucija ili cjelokupnog financijskog sustava.</w:t>
            </w:r>
          </w:p>
          <w:p w14:paraId="177B4282" w14:textId="1679ED33" w:rsidR="006A7F81" w:rsidRPr="00120CD6" w:rsidRDefault="006A7F81" w:rsidP="001B6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F77966" w:rsidRPr="003D1360" w14:paraId="73E0C25B" w14:textId="77777777" w:rsidTr="006A7F81">
        <w:trPr>
          <w:trHeight w:val="318"/>
        </w:trPr>
        <w:tc>
          <w:tcPr>
            <w:tcW w:w="1149" w:type="dxa"/>
          </w:tcPr>
          <w:p w14:paraId="5895AC01" w14:textId="77777777" w:rsidR="00F77966" w:rsidRPr="003D1360" w:rsidRDefault="00F77966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990" w:type="dxa"/>
          </w:tcPr>
          <w:p w14:paraId="00F4790F" w14:textId="77777777" w:rsidR="00F77966" w:rsidRPr="003D1360" w:rsidRDefault="00F779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247" w:type="dxa"/>
          </w:tcPr>
          <w:p w14:paraId="3DD4EDFF" w14:textId="15CB237F" w:rsidR="00F77966" w:rsidRPr="003D1360" w:rsidRDefault="00F779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3.5. Održavanje radionica te konferencija sa subjektima nadzora</w:t>
            </w:r>
          </w:p>
        </w:tc>
        <w:tc>
          <w:tcPr>
            <w:tcW w:w="1363" w:type="dxa"/>
          </w:tcPr>
          <w:p w14:paraId="066FFDFD" w14:textId="1DDCDBC6" w:rsidR="00F77966" w:rsidRPr="003D1360" w:rsidRDefault="000E2A91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HANFA</w:t>
            </w:r>
          </w:p>
          <w:p w14:paraId="2CBB164C" w14:textId="27BA7606" w:rsidR="00F77966" w:rsidRPr="003D1360" w:rsidRDefault="00F77966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HNB </w:t>
            </w:r>
          </w:p>
        </w:tc>
        <w:tc>
          <w:tcPr>
            <w:tcW w:w="1310" w:type="dxa"/>
          </w:tcPr>
          <w:p w14:paraId="20532B91" w14:textId="77777777" w:rsidR="00F77966" w:rsidRPr="003D1360" w:rsidDel="001817BF" w:rsidRDefault="00F779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549" w:type="dxa"/>
          </w:tcPr>
          <w:p w14:paraId="31BB17DE" w14:textId="6C3E25AB" w:rsidR="00F77966" w:rsidRPr="003D1360" w:rsidRDefault="00F77966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Subjekti na koje se legislativa primjenjuje</w:t>
            </w:r>
          </w:p>
        </w:tc>
        <w:tc>
          <w:tcPr>
            <w:tcW w:w="1560" w:type="dxa"/>
          </w:tcPr>
          <w:p w14:paraId="718F7058" w14:textId="4B2E4838" w:rsidR="00F77966" w:rsidRPr="003D1360" w:rsidRDefault="0068649C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K</w:t>
            </w:r>
            <w:r w:rsidR="00F77966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ontinuirano</w:t>
            </w:r>
          </w:p>
        </w:tc>
        <w:tc>
          <w:tcPr>
            <w:tcW w:w="3286" w:type="dxa"/>
            <w:vAlign w:val="center"/>
          </w:tcPr>
          <w:p w14:paraId="57287958" w14:textId="77777777" w:rsidR="00F77966" w:rsidRPr="00120CD6" w:rsidRDefault="00F779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Organiziranje radionica posvećenih raznovrsnim temama unutar zakonodavnog okvira održivog financiranja</w:t>
            </w:r>
            <w:r w:rsidR="006A7F81"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</w:t>
            </w:r>
          </w:p>
          <w:p w14:paraId="26D5D1DD" w14:textId="620E3C34" w:rsidR="006A7F81" w:rsidRPr="00120CD6" w:rsidRDefault="006A7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F77966" w:rsidRPr="003D1360" w14:paraId="5D6112BD" w14:textId="77777777" w:rsidTr="006A7F81">
        <w:trPr>
          <w:trHeight w:val="318"/>
        </w:trPr>
        <w:tc>
          <w:tcPr>
            <w:tcW w:w="1149" w:type="dxa"/>
          </w:tcPr>
          <w:p w14:paraId="6B8D4A2D" w14:textId="77777777" w:rsidR="00F77966" w:rsidRPr="003D1360" w:rsidRDefault="00F77966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990" w:type="dxa"/>
          </w:tcPr>
          <w:p w14:paraId="26639709" w14:textId="77777777" w:rsidR="00F77966" w:rsidRPr="003D1360" w:rsidRDefault="00F779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247" w:type="dxa"/>
          </w:tcPr>
          <w:p w14:paraId="55A60351" w14:textId="20DEAE82" w:rsidR="00F77966" w:rsidRPr="003D1360" w:rsidRDefault="00F779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3.6. Nadzorne aktivnosti vezane za kontrolu usklađenosti sa SFDR zakonskim okvirom</w:t>
            </w:r>
          </w:p>
        </w:tc>
        <w:tc>
          <w:tcPr>
            <w:tcW w:w="1363" w:type="dxa"/>
          </w:tcPr>
          <w:p w14:paraId="5CDA2C77" w14:textId="3CE7F8AC" w:rsidR="00F77966" w:rsidRPr="003D1360" w:rsidRDefault="000E2A91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HANFA</w:t>
            </w:r>
          </w:p>
        </w:tc>
        <w:tc>
          <w:tcPr>
            <w:tcW w:w="1310" w:type="dxa"/>
          </w:tcPr>
          <w:p w14:paraId="38E8BC9A" w14:textId="77777777" w:rsidR="00F77966" w:rsidRPr="003D1360" w:rsidDel="001817BF" w:rsidRDefault="00F779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549" w:type="dxa"/>
          </w:tcPr>
          <w:p w14:paraId="539844F3" w14:textId="394982CA" w:rsidR="00F77966" w:rsidRPr="003D1360" w:rsidRDefault="00F77966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Subjekti na koje se legislativa primjenjuje</w:t>
            </w:r>
          </w:p>
        </w:tc>
        <w:tc>
          <w:tcPr>
            <w:tcW w:w="1560" w:type="dxa"/>
          </w:tcPr>
          <w:p w14:paraId="1399F26D" w14:textId="6F1DDD7A" w:rsidR="00F77966" w:rsidRPr="003D1360" w:rsidRDefault="0068649C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K</w:t>
            </w:r>
            <w:r w:rsidR="00F77966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ontinuirano </w:t>
            </w:r>
          </w:p>
        </w:tc>
        <w:tc>
          <w:tcPr>
            <w:tcW w:w="3286" w:type="dxa"/>
            <w:vAlign w:val="center"/>
          </w:tcPr>
          <w:p w14:paraId="1FB1093A" w14:textId="77777777" w:rsidR="00F77966" w:rsidRPr="00120CD6" w:rsidRDefault="00F779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Radi osiguravanja usklađenosti sa zakonskim okvirom SFDR-a, planiraju se provoditi i posredni i neposredni oblici nadzora. Nadzori predstavljaju  jedan od alata koji imaju za cilj podizanje razine transparentnosti i </w:t>
            </w:r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lastRenderedPageBreak/>
              <w:t>razumijevanja pružatelja usluga u vezi obveza usklađivanja s propisima iz navedeno</w:t>
            </w:r>
            <w:r w:rsidR="00FD3241"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g područja te zaštite </w:t>
            </w:r>
            <w:proofErr w:type="spellStart"/>
            <w:r w:rsidR="00FD3241"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ulagatelja</w:t>
            </w:r>
            <w:proofErr w:type="spellEnd"/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 koji ulažu u financijske proizvode koji imaju obilježja</w:t>
            </w:r>
            <w:r w:rsidR="006A7F81"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</w:t>
            </w:r>
          </w:p>
          <w:p w14:paraId="13F5F267" w14:textId="1A288633" w:rsidR="006A7F81" w:rsidRPr="00120CD6" w:rsidRDefault="006A7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F77966" w:rsidRPr="003D1360" w14:paraId="73963CD7" w14:textId="77777777" w:rsidTr="006A7F81">
        <w:trPr>
          <w:trHeight w:val="318"/>
        </w:trPr>
        <w:tc>
          <w:tcPr>
            <w:tcW w:w="1149" w:type="dxa"/>
          </w:tcPr>
          <w:p w14:paraId="5AD188D4" w14:textId="6D1F98DF" w:rsidR="00852AEA" w:rsidRPr="003D1360" w:rsidRDefault="00852AEA" w:rsidP="00645F2A">
            <w:pPr>
              <w:pStyle w:val="Odlomakpopisa"/>
              <w:numPr>
                <w:ilvl w:val="0"/>
                <w:numId w:val="15"/>
              </w:numPr>
              <w:tabs>
                <w:tab w:val="left" w:pos="6930"/>
                <w:tab w:val="left" w:pos="933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990" w:type="dxa"/>
          </w:tcPr>
          <w:p w14:paraId="337B1CCF" w14:textId="5C850F69" w:rsidR="00852AEA" w:rsidRPr="003D1360" w:rsidRDefault="002777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Promoviranje </w:t>
            </w:r>
            <w:r w:rsidR="00852AEA" w:rsidRPr="003D1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zelene javne nabave i zelenih proizvoda i usluga u održivom poslovanju</w:t>
            </w:r>
          </w:p>
        </w:tc>
        <w:tc>
          <w:tcPr>
            <w:tcW w:w="2247" w:type="dxa"/>
          </w:tcPr>
          <w:p w14:paraId="2FD3286E" w14:textId="77777777" w:rsidR="00852AEA" w:rsidRPr="003D1360" w:rsidRDefault="00852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Okrugli stol o zelenoj (javnoj) nabavi i ulozi eko-oznaka na proizvodima i uslugama u kontekstu promicanja okolišnog i održivog poslovanja javnih i privatnih organizacija</w:t>
            </w:r>
          </w:p>
          <w:p w14:paraId="150D0B57" w14:textId="0FFC78BA" w:rsidR="00852AEA" w:rsidRPr="003D1360" w:rsidRDefault="00852A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363" w:type="dxa"/>
          </w:tcPr>
          <w:p w14:paraId="176522ED" w14:textId="77777777" w:rsidR="00852AEA" w:rsidRPr="003D1360" w:rsidRDefault="00852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MZOZT </w:t>
            </w:r>
          </w:p>
          <w:p w14:paraId="3078CFCA" w14:textId="63B02ABF" w:rsidR="00852AEA" w:rsidRPr="003D1360" w:rsidRDefault="00852AEA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310" w:type="dxa"/>
          </w:tcPr>
          <w:p w14:paraId="1DF9952C" w14:textId="77777777" w:rsidR="00852AEA" w:rsidRPr="003D1360" w:rsidRDefault="00852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MINGO</w:t>
            </w:r>
          </w:p>
          <w:p w14:paraId="25C8414A" w14:textId="4BC88DBC" w:rsidR="00852AEA" w:rsidRPr="003D1360" w:rsidRDefault="00852A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549" w:type="dxa"/>
          </w:tcPr>
          <w:p w14:paraId="48223B0B" w14:textId="137BD870" w:rsidR="00852AEA" w:rsidRPr="003D1360" w:rsidRDefault="00E763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J</w:t>
            </w:r>
            <w:r w:rsidR="00852AEA" w:rsidRPr="003D1360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avna tijela, poduzetnici </w:t>
            </w:r>
          </w:p>
          <w:p w14:paraId="0E7D839C" w14:textId="67F23219" w:rsidR="00852AEA" w:rsidRPr="003D1360" w:rsidRDefault="00852AEA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560" w:type="dxa"/>
          </w:tcPr>
          <w:p w14:paraId="643FF534" w14:textId="77777777" w:rsidR="00852AEA" w:rsidRPr="003D1360" w:rsidRDefault="00852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2025.</w:t>
            </w:r>
          </w:p>
          <w:p w14:paraId="002EB558" w14:textId="77777777" w:rsidR="00852AEA" w:rsidRPr="003D1360" w:rsidRDefault="00852AEA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286" w:type="dxa"/>
            <w:vAlign w:val="center"/>
          </w:tcPr>
          <w:p w14:paraId="6258C9E1" w14:textId="3A46999A" w:rsidR="00852AEA" w:rsidRPr="00120CD6" w:rsidRDefault="00852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120CD6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VRH je donijela novu Odluku o provedbi zelene javne nabave koja </w:t>
            </w:r>
            <w:r w:rsidR="002777B5" w:rsidRPr="00120CD6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je </w:t>
            </w:r>
            <w:r w:rsidRPr="00120CD6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stup</w:t>
            </w:r>
            <w:r w:rsidR="002777B5" w:rsidRPr="00120CD6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ila</w:t>
            </w:r>
            <w:r w:rsidRPr="00120CD6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na snagu 1.1.2025. s konkretnim mjerama i ciljevima koji dop</w:t>
            </w:r>
            <w:r w:rsidR="00FD3241" w:rsidRPr="00120CD6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r</w:t>
            </w:r>
            <w:r w:rsidRPr="00120CD6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inose zaštiti okoliša  (NN 137/24). Proizvodi i usluge koji imaju vjerodostojni znak zaštite okoliša poput EU </w:t>
            </w:r>
            <w:proofErr w:type="spellStart"/>
            <w:r w:rsidRPr="00120CD6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Ecolabel</w:t>
            </w:r>
            <w:proofErr w:type="spellEnd"/>
            <w:r w:rsidRPr="00120CD6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trebaju imati prednost u odnosu na neprovjerene zelene tvrdnje. MZOZT kao nadležno tijelo za zelenu javnu nabavu, za EU </w:t>
            </w:r>
            <w:proofErr w:type="spellStart"/>
            <w:r w:rsidRPr="00120CD6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Ecolabel</w:t>
            </w:r>
            <w:proofErr w:type="spellEnd"/>
            <w:r w:rsidRPr="00120CD6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i za novu EU Direktivu o zelenim tvrdnjama, vodi nacionalnu mrežnu stranicu www.zelenanabava.hr te je namjera kroz ovu mjeru informirati i raspraviti s poslovnim sektorom o važnosti održive potrošnje i proizvodnje u imidžu održivog poslovanja.</w:t>
            </w:r>
          </w:p>
          <w:p w14:paraId="1AEF90E4" w14:textId="7CCD8DF6" w:rsidR="00852AEA" w:rsidRPr="00120CD6" w:rsidRDefault="00852AEA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F77966" w:rsidRPr="003D1360" w14:paraId="2BF589E3" w14:textId="77777777" w:rsidTr="00A747C2">
        <w:trPr>
          <w:trHeight w:val="318"/>
        </w:trPr>
        <w:tc>
          <w:tcPr>
            <w:tcW w:w="1149" w:type="dxa"/>
          </w:tcPr>
          <w:p w14:paraId="532F39F0" w14:textId="2DC3C08A" w:rsidR="00852AEA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  <w:lastRenderedPageBreak/>
              <w:t>5</w:t>
            </w:r>
            <w:r w:rsidR="00852AEA" w:rsidRPr="003D13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  <w:tc>
          <w:tcPr>
            <w:tcW w:w="1990" w:type="dxa"/>
          </w:tcPr>
          <w:p w14:paraId="55CE80A1" w14:textId="72EF3E45" w:rsidR="00852AEA" w:rsidRPr="003D1360" w:rsidRDefault="00852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  <w:t>Jačanje svijesti</w:t>
            </w:r>
            <w:r w:rsidRPr="003D136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hr-HR"/>
              </w:rPr>
              <w:t xml:space="preserve"> </w:t>
            </w:r>
            <w:r w:rsidRPr="003D13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o standardima okolišnog upravljanja i verifikacija</w:t>
            </w:r>
            <w:r w:rsidRPr="003D13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r-HR"/>
              </w:rPr>
              <w:t xml:space="preserve"> </w:t>
            </w:r>
            <w:r w:rsidRPr="003D13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okolišnih parametara</w:t>
            </w:r>
            <w:r w:rsidRPr="003D13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247" w:type="dxa"/>
          </w:tcPr>
          <w:p w14:paraId="21BF65A5" w14:textId="74FD2A2E" w:rsidR="00852AEA" w:rsidRPr="003D1360" w:rsidRDefault="00852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Okrugli stol o izazovima u izračunu i verificiranju okolišnih parametara u okviru ESG </w:t>
            </w:r>
          </w:p>
          <w:p w14:paraId="2F481F46" w14:textId="77777777" w:rsidR="00EE0625" w:rsidRPr="003D1360" w:rsidRDefault="00EE0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  <w:p w14:paraId="6E299586" w14:textId="77777777" w:rsidR="00852AEA" w:rsidRPr="003D1360" w:rsidRDefault="00852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363" w:type="dxa"/>
          </w:tcPr>
          <w:p w14:paraId="2F0288CE" w14:textId="77777777" w:rsidR="00852AEA" w:rsidRPr="003D1360" w:rsidRDefault="00852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MZOZT </w:t>
            </w:r>
          </w:p>
          <w:p w14:paraId="4C5A2B3E" w14:textId="77777777" w:rsidR="00852AEA" w:rsidRPr="003D1360" w:rsidRDefault="00852AEA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310" w:type="dxa"/>
          </w:tcPr>
          <w:p w14:paraId="33E61F3D" w14:textId="4CC392DD" w:rsidR="00852AEA" w:rsidRPr="003D1360" w:rsidRDefault="00EE0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O</w:t>
            </w:r>
            <w:r w:rsidR="00852AEA" w:rsidRPr="003D1360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vlaštenici za okolišne poslove</w:t>
            </w:r>
          </w:p>
          <w:p w14:paraId="3A39C337" w14:textId="77777777" w:rsidR="00852AEA" w:rsidRPr="003D1360" w:rsidRDefault="00852A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549" w:type="dxa"/>
          </w:tcPr>
          <w:p w14:paraId="4EB6BE94" w14:textId="77777777" w:rsidR="00852AEA" w:rsidRPr="003D1360" w:rsidRDefault="00852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Poduzetnici, revizorska društva</w:t>
            </w:r>
          </w:p>
          <w:p w14:paraId="5502D8B7" w14:textId="77777777" w:rsidR="00852AEA" w:rsidRPr="003D1360" w:rsidRDefault="00852AEA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560" w:type="dxa"/>
          </w:tcPr>
          <w:p w14:paraId="26B6A1CE" w14:textId="77777777" w:rsidR="00852AEA" w:rsidRPr="003D1360" w:rsidRDefault="00852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2026. </w:t>
            </w:r>
          </w:p>
          <w:p w14:paraId="6940C61C" w14:textId="77777777" w:rsidR="00852AEA" w:rsidRPr="003D1360" w:rsidRDefault="00852AEA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286" w:type="dxa"/>
            <w:vAlign w:val="center"/>
          </w:tcPr>
          <w:p w14:paraId="18915B3F" w14:textId="527D65AD" w:rsidR="00852AEA" w:rsidRPr="00120CD6" w:rsidRDefault="00852AEA" w:rsidP="00645F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120CD6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Izračun i praćenje okolišnih parametara poput izračuna emisija stakleničkih plinova poslovanja, proizvoda i usluga (ugljičnog otiska) moraju biti pouzdani i vjerodostojni kako bi se moglo pratiti ESG i održivo poslovanje. Zahtjevi na tržištu sve više rastu za ovakvim izračunima te je pitanje tko ima stručna znanja i na koji način osigurati stručne kapacitete za ovu novu nišu poslova. Postoje ovlaštenici za izračun emis</w:t>
            </w:r>
            <w:r w:rsidR="00C44FEF" w:rsidRPr="00120CD6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i</w:t>
            </w:r>
            <w:r w:rsidRPr="00120CD6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ja stakleničkih plinova u okviru Zakona o zaštite okoliša, ali i akreditirana tijela za EMAS. Na okruglom stolu bi se raspravilo o izazovima i mogućnostima u postupcima ve</w:t>
            </w:r>
            <w:r w:rsidR="00FD3241" w:rsidRPr="00120CD6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rifikacije okolišnih parametara.</w:t>
            </w:r>
          </w:p>
          <w:p w14:paraId="74FD1402" w14:textId="1CA2472D" w:rsidR="006A7F81" w:rsidRPr="00120CD6" w:rsidRDefault="006A7F81" w:rsidP="00645F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F77966" w:rsidRPr="003D1360" w14:paraId="28B60211" w14:textId="77777777" w:rsidTr="006A7F81">
        <w:trPr>
          <w:trHeight w:val="318"/>
        </w:trPr>
        <w:tc>
          <w:tcPr>
            <w:tcW w:w="1149" w:type="dxa"/>
          </w:tcPr>
          <w:p w14:paraId="222EC2BF" w14:textId="57DC2070" w:rsidR="00EE0625" w:rsidRPr="003D1360" w:rsidRDefault="001745D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6</w:t>
            </w:r>
            <w:r w:rsidR="00EE0625" w:rsidRPr="003D13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1990" w:type="dxa"/>
          </w:tcPr>
          <w:p w14:paraId="12D8A778" w14:textId="77777777" w:rsidR="00EE0625" w:rsidRPr="003D1360" w:rsidRDefault="00EE062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Klimatsko potvrđivanje kao alat za osiguranje usklađenosti investicije s klimatskim ciljevima</w:t>
            </w:r>
          </w:p>
          <w:p w14:paraId="76F1E2AA" w14:textId="77777777" w:rsidR="00EE0625" w:rsidRPr="003D1360" w:rsidRDefault="00EE06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247" w:type="dxa"/>
          </w:tcPr>
          <w:p w14:paraId="6E7D42AB" w14:textId="0F9CBB8E" w:rsidR="00EE0625" w:rsidRPr="003D1360" w:rsidRDefault="00EE0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Radionica o primjeni koncepta klimatskog potvrđivanja, koji osigurava da je investicija u infrastrukturu u skladu sa ciljem smanjenja emisija stakleničkih plinova </w:t>
            </w:r>
            <w:r w:rsidRPr="003D1360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lastRenderedPageBreak/>
              <w:t>i otporna n</w:t>
            </w:r>
            <w:r w:rsidR="006F0F13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a rizike od klimatskih promjena</w:t>
            </w:r>
          </w:p>
          <w:p w14:paraId="38918653" w14:textId="77777777" w:rsidR="00EE0625" w:rsidRPr="003D1360" w:rsidRDefault="00EE06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363" w:type="dxa"/>
          </w:tcPr>
          <w:p w14:paraId="2ABDC1DE" w14:textId="77777777" w:rsidR="00EE0625" w:rsidRPr="003D1360" w:rsidRDefault="00EE0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lastRenderedPageBreak/>
              <w:t xml:space="preserve">MZOZT </w:t>
            </w:r>
          </w:p>
          <w:p w14:paraId="41DAEDA7" w14:textId="77777777" w:rsidR="00EE0625" w:rsidRPr="003D1360" w:rsidRDefault="00EE0625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310" w:type="dxa"/>
          </w:tcPr>
          <w:p w14:paraId="777DAB36" w14:textId="77777777" w:rsidR="00EE0625" w:rsidRPr="003D1360" w:rsidRDefault="00EE0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MRRFEU</w:t>
            </w:r>
          </w:p>
          <w:p w14:paraId="06DBEECC" w14:textId="77777777" w:rsidR="00EE0625" w:rsidRPr="003D1360" w:rsidRDefault="00EE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549" w:type="dxa"/>
          </w:tcPr>
          <w:p w14:paraId="3E9D6551" w14:textId="77777777" w:rsidR="00EE0625" w:rsidRPr="003D1360" w:rsidRDefault="00EE0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Poduzetnici</w:t>
            </w:r>
          </w:p>
          <w:p w14:paraId="3E64B464" w14:textId="77777777" w:rsidR="00EE0625" w:rsidRPr="003D1360" w:rsidRDefault="00EE0625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560" w:type="dxa"/>
          </w:tcPr>
          <w:p w14:paraId="63033FAC" w14:textId="77777777" w:rsidR="00EE0625" w:rsidRPr="003D1360" w:rsidRDefault="00EE0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2025. – 2026.</w:t>
            </w:r>
          </w:p>
          <w:p w14:paraId="38694795" w14:textId="77777777" w:rsidR="00EE0625" w:rsidRPr="003D1360" w:rsidRDefault="00EE0625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286" w:type="dxa"/>
            <w:vAlign w:val="center"/>
          </w:tcPr>
          <w:p w14:paraId="326F2517" w14:textId="100A179F" w:rsidR="00EE0625" w:rsidRPr="00120CD6" w:rsidRDefault="00EE0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120CD6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MZOZT je u suradnji s MRRFEU izradilo nacionalne Smjernice za klimatsko  potvrđivanje za pripremu ulaganja u programskom razdoblju 2021. - 2027. kojima se pobliže prenose obveza iz EK Tehničkih  smjernica za pripremu infrastrukture za </w:t>
            </w:r>
            <w:r w:rsidRPr="00120CD6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lastRenderedPageBreak/>
              <w:t xml:space="preserve">klimatske promjene u razdoblju 2021. - 2027. Infrastrukturni projekti s očekivanim vijekom trajanja od najmanje pet godina moraju proći postupak klimatskog potvrđivanja. Na ovaj način se osigurava održivost ulaganja s aspekta usklađenosti s nacionalnim ciljem smanjenja emisija stakleničkih plinova i otpornosti na klimatske promjene. Kroz radionicu će se sudionici </w:t>
            </w:r>
            <w:r w:rsidR="00D67B81" w:rsidRPr="00120CD6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informirati</w:t>
            </w:r>
            <w:r w:rsidRPr="00120CD6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o konceptu klimatskog potvrđivanja.</w:t>
            </w:r>
          </w:p>
          <w:p w14:paraId="39EBDE25" w14:textId="77777777" w:rsidR="00EE0625" w:rsidRPr="00120CD6" w:rsidRDefault="00EE0625" w:rsidP="00645F2A">
            <w:pPr>
              <w:tabs>
                <w:tab w:val="left" w:pos="6930"/>
                <w:tab w:val="left" w:pos="9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F77966" w:rsidRPr="003D1360" w14:paraId="19CAF5B5" w14:textId="77777777" w:rsidTr="002F2B79">
        <w:trPr>
          <w:trHeight w:val="850"/>
        </w:trPr>
        <w:tc>
          <w:tcPr>
            <w:tcW w:w="1149" w:type="dxa"/>
            <w:vMerge w:val="restart"/>
          </w:tcPr>
          <w:p w14:paraId="0C3EC0C0" w14:textId="1283F643" w:rsidR="001D6DDB" w:rsidRPr="003D1360" w:rsidRDefault="001745D4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3D13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  <w:lastRenderedPageBreak/>
              <w:t>7.</w:t>
            </w:r>
          </w:p>
        </w:tc>
        <w:tc>
          <w:tcPr>
            <w:tcW w:w="1990" w:type="dxa"/>
            <w:vMerge w:val="restart"/>
          </w:tcPr>
          <w:p w14:paraId="5E754669" w14:textId="225AF1A6" w:rsidR="001D6DDB" w:rsidRPr="003D1360" w:rsidRDefault="001D6D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Izrada ESG </w:t>
            </w:r>
            <w:r w:rsidR="00256D29" w:rsidRPr="003D1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strategija </w:t>
            </w:r>
          </w:p>
        </w:tc>
        <w:tc>
          <w:tcPr>
            <w:tcW w:w="2247" w:type="dxa"/>
          </w:tcPr>
          <w:p w14:paraId="289502DD" w14:textId="3CAC1E1E" w:rsidR="001D6DDB" w:rsidRPr="003D1360" w:rsidRDefault="001745D4" w:rsidP="00645F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</w:t>
            </w:r>
            <w:r w:rsidR="001D6DDB" w:rsidRPr="003D13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.1. Izrada strategije </w:t>
            </w:r>
            <w:r w:rsidRPr="003D13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uvažavanja </w:t>
            </w:r>
            <w:r w:rsidR="00256D29" w:rsidRPr="003D13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hr-HR" w:eastAsia="hr-HR"/>
              </w:rPr>
              <w:t>klime</w:t>
            </w:r>
            <w:r w:rsidR="001D6DDB" w:rsidRPr="003D13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hr-HR" w:eastAsia="hr-HR"/>
              </w:rPr>
              <w:t xml:space="preserve"> i okoliš</w:t>
            </w:r>
            <w:r w:rsidR="00256D29" w:rsidRPr="003D13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hr-HR" w:eastAsia="hr-HR"/>
              </w:rPr>
              <w:t>a</w:t>
            </w:r>
            <w:r w:rsidR="001D6DDB" w:rsidRPr="003D13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hr-HR" w:eastAsia="hr-HR"/>
              </w:rPr>
              <w:t xml:space="preserve"> pri upravljanju financijskom imovinom,</w:t>
            </w:r>
            <w:r w:rsidR="001D6DDB" w:rsidRPr="003D13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uspostavljanje sustava upravljanja klimatskim rizicima u portfelju financijske imovine te objavljivanje sveobuhvatnog klimatskog </w:t>
            </w:r>
            <w:r w:rsidR="006F0F13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financijskog izvješća</w:t>
            </w:r>
          </w:p>
          <w:p w14:paraId="48CB6A08" w14:textId="77777777" w:rsidR="001D6DDB" w:rsidRPr="003D1360" w:rsidRDefault="001D6DDB" w:rsidP="00645F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41B20FB" w14:textId="3830F247" w:rsidR="001D6DDB" w:rsidRPr="003D1360" w:rsidRDefault="001D6DDB" w:rsidP="00645F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363" w:type="dxa"/>
          </w:tcPr>
          <w:p w14:paraId="2FCD1A2C" w14:textId="483AC067" w:rsidR="001D6DDB" w:rsidRPr="003D1360" w:rsidRDefault="001D6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lastRenderedPageBreak/>
              <w:t>HNB</w:t>
            </w:r>
          </w:p>
        </w:tc>
        <w:tc>
          <w:tcPr>
            <w:tcW w:w="1310" w:type="dxa"/>
          </w:tcPr>
          <w:p w14:paraId="6A71CD6B" w14:textId="77777777" w:rsidR="001D6DDB" w:rsidRPr="003D1360" w:rsidRDefault="001D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549" w:type="dxa"/>
          </w:tcPr>
          <w:p w14:paraId="2AE26DFF" w14:textId="7C02E6EE" w:rsidR="001D6DDB" w:rsidRPr="003D1360" w:rsidRDefault="001D6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Stručna i šira javnost</w:t>
            </w:r>
          </w:p>
        </w:tc>
        <w:tc>
          <w:tcPr>
            <w:tcW w:w="1560" w:type="dxa"/>
          </w:tcPr>
          <w:p w14:paraId="4BA2873C" w14:textId="524136C7" w:rsidR="001D6DDB" w:rsidRPr="003D1360" w:rsidRDefault="001D6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2025.</w:t>
            </w:r>
          </w:p>
        </w:tc>
        <w:tc>
          <w:tcPr>
            <w:tcW w:w="3286" w:type="dxa"/>
          </w:tcPr>
          <w:p w14:paraId="352ADA18" w14:textId="6BB38807" w:rsidR="00B60C0F" w:rsidRPr="00120CD6" w:rsidRDefault="0099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HNB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će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redovito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na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godišnjoj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razini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objavljivati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klimatsko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financijsko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izvješće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te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pri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upravljanju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portfeljem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financijske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imovine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uzimati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obzir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klimatske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okolišne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rizike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ESG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ulaganja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bit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će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zastupljena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strukturi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financijske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imovine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ukoliko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su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usklađena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cjelokupnom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strategijom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upravljanja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portfeljem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pri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čemu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će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se HNB u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skladu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sa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Zakonom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 HNB-u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prvenstveno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rukovoditi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načelima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likvidnosti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sigurnosti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ulaganja</w:t>
            </w:r>
            <w:proofErr w:type="spellEnd"/>
            <w:r w:rsidRPr="00120CD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F77966" w:rsidRPr="003D1360" w14:paraId="029FF0F6" w14:textId="77777777" w:rsidTr="00A747C2">
        <w:trPr>
          <w:trHeight w:val="2114"/>
        </w:trPr>
        <w:tc>
          <w:tcPr>
            <w:tcW w:w="1149" w:type="dxa"/>
            <w:vMerge/>
            <w:vAlign w:val="center"/>
          </w:tcPr>
          <w:p w14:paraId="410D0EA4" w14:textId="77777777" w:rsidR="001D6DDB" w:rsidRPr="003D1360" w:rsidRDefault="001D6DDB" w:rsidP="00645F2A">
            <w:pPr>
              <w:tabs>
                <w:tab w:val="left" w:pos="6930"/>
                <w:tab w:val="left" w:pos="93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990" w:type="dxa"/>
            <w:vMerge/>
          </w:tcPr>
          <w:p w14:paraId="2CF79148" w14:textId="77777777" w:rsidR="001D6DDB" w:rsidRPr="003D1360" w:rsidRDefault="001D6D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247" w:type="dxa"/>
          </w:tcPr>
          <w:p w14:paraId="308D399E" w14:textId="3E74945B" w:rsidR="001D6DDB" w:rsidRPr="003D1360" w:rsidRDefault="001745D4" w:rsidP="00FD32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7.2.</w:t>
            </w:r>
            <w:r w:rsidR="00FD324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="00E76355" w:rsidRPr="003D13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Izrada </w:t>
            </w:r>
            <w:r w:rsidR="001D6DDB" w:rsidRPr="003D13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sveobuhvatn</w:t>
            </w:r>
            <w:r w:rsidR="00E76355" w:rsidRPr="003D13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</w:t>
            </w:r>
            <w:r w:rsidR="00FD324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="001D6DDB" w:rsidRPr="003D13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ESG st</w:t>
            </w:r>
            <w:r w:rsidR="00E76355" w:rsidRPr="003D13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rategije H</w:t>
            </w:r>
            <w:r w:rsidR="000E2A91" w:rsidRPr="003D13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ANFA-e</w:t>
            </w:r>
            <w:r w:rsidR="00E76355" w:rsidRPr="003D13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1363" w:type="dxa"/>
          </w:tcPr>
          <w:p w14:paraId="34E840A9" w14:textId="7D576C13" w:rsidR="001D6DDB" w:rsidRPr="003D1360" w:rsidRDefault="000E2A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HANFA</w:t>
            </w:r>
          </w:p>
        </w:tc>
        <w:tc>
          <w:tcPr>
            <w:tcW w:w="1310" w:type="dxa"/>
          </w:tcPr>
          <w:p w14:paraId="4D055A34" w14:textId="77777777" w:rsidR="001D6DDB" w:rsidRPr="003D1360" w:rsidRDefault="001D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549" w:type="dxa"/>
          </w:tcPr>
          <w:p w14:paraId="61624951" w14:textId="1DDA169B" w:rsidR="001D6DDB" w:rsidRPr="003D1360" w:rsidRDefault="001D6DD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</w:t>
            </w:r>
            <w:r w:rsidR="000E2A91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ANFA</w:t>
            </w: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, subjekti nadzora i </w:t>
            </w:r>
            <w:r w:rsidR="001B6FB1"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šira </w:t>
            </w:r>
            <w:r w:rsidRPr="003D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javnost</w:t>
            </w:r>
          </w:p>
        </w:tc>
        <w:tc>
          <w:tcPr>
            <w:tcW w:w="1560" w:type="dxa"/>
          </w:tcPr>
          <w:p w14:paraId="12A38CC2" w14:textId="5D85F629" w:rsidR="001D6DDB" w:rsidRPr="003D1360" w:rsidRDefault="001D6D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D13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2025</w:t>
            </w:r>
            <w:r w:rsidR="006C263F" w:rsidRPr="003D13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. </w:t>
            </w:r>
          </w:p>
        </w:tc>
        <w:tc>
          <w:tcPr>
            <w:tcW w:w="3286" w:type="dxa"/>
          </w:tcPr>
          <w:p w14:paraId="275BAA45" w14:textId="256A6B13" w:rsidR="001D6DDB" w:rsidRPr="00120CD6" w:rsidRDefault="001D6DD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Razvijanje detaljnije i sveobuhvatnije ESG strategije H</w:t>
            </w:r>
            <w:r w:rsidR="000E2A91"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ANFA-e</w:t>
            </w:r>
            <w:r w:rsidRPr="0012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koja bi uključivala precizniji pristup u vezi s održivošću i ESG pitanjima.</w:t>
            </w:r>
          </w:p>
        </w:tc>
      </w:tr>
    </w:tbl>
    <w:p w14:paraId="3EED2B5B" w14:textId="4172017A" w:rsidR="00E81BBB" w:rsidRPr="003D1360" w:rsidRDefault="00E81BBB" w:rsidP="00C34A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AF836E" w14:textId="3E69B5EF" w:rsidR="00DE4B03" w:rsidRPr="003D1360" w:rsidRDefault="00DE4B03" w:rsidP="00C34A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671296" w14:textId="77777777" w:rsidR="00576162" w:rsidRDefault="00576162" w:rsidP="00DE4B03">
      <w:pPr>
        <w:rPr>
          <w:rFonts w:ascii="Times New Roman" w:hAnsi="Times New Roman" w:cs="Times New Roman"/>
          <w:sz w:val="24"/>
          <w:szCs w:val="24"/>
        </w:rPr>
      </w:pPr>
    </w:p>
    <w:p w14:paraId="7D632D94" w14:textId="77777777" w:rsidR="00576162" w:rsidRDefault="00576162" w:rsidP="00DE4B03">
      <w:pPr>
        <w:rPr>
          <w:rFonts w:ascii="Times New Roman" w:hAnsi="Times New Roman" w:cs="Times New Roman"/>
          <w:sz w:val="24"/>
          <w:szCs w:val="24"/>
        </w:rPr>
      </w:pPr>
    </w:p>
    <w:p w14:paraId="6DB992E5" w14:textId="6B3B6977" w:rsidR="00576162" w:rsidRDefault="00576162" w:rsidP="00DE4B03">
      <w:pPr>
        <w:rPr>
          <w:rFonts w:ascii="Times New Roman" w:hAnsi="Times New Roman" w:cs="Times New Roman"/>
          <w:sz w:val="24"/>
          <w:szCs w:val="24"/>
        </w:rPr>
      </w:pPr>
    </w:p>
    <w:p w14:paraId="6149E407" w14:textId="326CB0DB" w:rsidR="002F2B79" w:rsidRDefault="002F2B79" w:rsidP="00DE4B03">
      <w:pPr>
        <w:rPr>
          <w:rFonts w:ascii="Times New Roman" w:hAnsi="Times New Roman" w:cs="Times New Roman"/>
          <w:sz w:val="24"/>
          <w:szCs w:val="24"/>
        </w:rPr>
      </w:pPr>
    </w:p>
    <w:p w14:paraId="0EC99FF9" w14:textId="62D00E9A" w:rsidR="002F2B79" w:rsidRDefault="002F2B79" w:rsidP="00DE4B03">
      <w:pPr>
        <w:rPr>
          <w:rFonts w:ascii="Times New Roman" w:hAnsi="Times New Roman" w:cs="Times New Roman"/>
          <w:sz w:val="24"/>
          <w:szCs w:val="24"/>
        </w:rPr>
      </w:pPr>
    </w:p>
    <w:p w14:paraId="62CD13AB" w14:textId="77777777" w:rsidR="002F2B79" w:rsidRDefault="002F2B79" w:rsidP="00DE4B03">
      <w:pPr>
        <w:rPr>
          <w:rFonts w:ascii="Times New Roman" w:hAnsi="Times New Roman" w:cs="Times New Roman"/>
          <w:sz w:val="24"/>
          <w:szCs w:val="24"/>
        </w:rPr>
      </w:pPr>
    </w:p>
    <w:p w14:paraId="6E902747" w14:textId="77777777" w:rsidR="00576162" w:rsidRDefault="00576162" w:rsidP="00DE4B03">
      <w:pPr>
        <w:rPr>
          <w:rFonts w:ascii="Times New Roman" w:hAnsi="Times New Roman" w:cs="Times New Roman"/>
          <w:sz w:val="24"/>
          <w:szCs w:val="24"/>
        </w:rPr>
      </w:pPr>
    </w:p>
    <w:p w14:paraId="1C7A0A5B" w14:textId="77777777" w:rsidR="00576162" w:rsidRDefault="00576162" w:rsidP="00DE4B03">
      <w:pPr>
        <w:rPr>
          <w:rFonts w:ascii="Times New Roman" w:hAnsi="Times New Roman" w:cs="Times New Roman"/>
          <w:sz w:val="24"/>
          <w:szCs w:val="24"/>
        </w:rPr>
      </w:pPr>
    </w:p>
    <w:p w14:paraId="55AE3A5A" w14:textId="77777777" w:rsidR="00576162" w:rsidRDefault="00576162" w:rsidP="00DE4B03">
      <w:pPr>
        <w:rPr>
          <w:rFonts w:ascii="Times New Roman" w:hAnsi="Times New Roman" w:cs="Times New Roman"/>
          <w:sz w:val="24"/>
          <w:szCs w:val="24"/>
        </w:rPr>
      </w:pPr>
    </w:p>
    <w:p w14:paraId="72D7A8D1" w14:textId="77777777" w:rsidR="00576162" w:rsidRDefault="00576162" w:rsidP="00DE4B03">
      <w:pPr>
        <w:rPr>
          <w:rFonts w:ascii="Times New Roman" w:hAnsi="Times New Roman" w:cs="Times New Roman"/>
          <w:sz w:val="24"/>
          <w:szCs w:val="24"/>
        </w:rPr>
      </w:pPr>
    </w:p>
    <w:p w14:paraId="4019E191" w14:textId="77777777" w:rsidR="006C4310" w:rsidRDefault="006C4310" w:rsidP="00DE4B03">
      <w:pPr>
        <w:rPr>
          <w:rFonts w:ascii="Times New Roman" w:hAnsi="Times New Roman" w:cs="Times New Roman"/>
          <w:sz w:val="24"/>
          <w:szCs w:val="24"/>
        </w:rPr>
      </w:pPr>
    </w:p>
    <w:p w14:paraId="2C4FCCBE" w14:textId="73AC9D42" w:rsidR="00DE4B03" w:rsidRPr="00576162" w:rsidRDefault="00DE4B03" w:rsidP="00DE4B03">
      <w:pPr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b/>
          <w:sz w:val="24"/>
          <w:szCs w:val="24"/>
        </w:rPr>
        <w:lastRenderedPageBreak/>
        <w:t>Skraćenice</w:t>
      </w:r>
      <w:r w:rsidR="001C13F2" w:rsidRPr="003D1360">
        <w:rPr>
          <w:rFonts w:ascii="Times New Roman" w:hAnsi="Times New Roman" w:cs="Times New Roman"/>
          <w:b/>
          <w:sz w:val="24"/>
          <w:szCs w:val="24"/>
        </w:rPr>
        <w:t xml:space="preserve"> iz Akcijskog plana</w:t>
      </w:r>
      <w:r w:rsidRPr="003D1360">
        <w:rPr>
          <w:rFonts w:ascii="Times New Roman" w:hAnsi="Times New Roman" w:cs="Times New Roman"/>
          <w:b/>
          <w:sz w:val="24"/>
          <w:szCs w:val="24"/>
        </w:rPr>
        <w:t>:</w:t>
      </w:r>
    </w:p>
    <w:p w14:paraId="5507591A" w14:textId="28EA47D7" w:rsidR="008F3086" w:rsidRPr="003D1360" w:rsidRDefault="008F3086" w:rsidP="00DE4B03">
      <w:pPr>
        <w:rPr>
          <w:rStyle w:val="Naglaeno"/>
          <w:b w:val="0"/>
        </w:rPr>
      </w:pPr>
      <w:r w:rsidRPr="003D1360">
        <w:rPr>
          <w:rFonts w:ascii="Times New Roman" w:hAnsi="Times New Roman" w:cs="Times New Roman"/>
          <w:sz w:val="24"/>
          <w:szCs w:val="24"/>
        </w:rPr>
        <w:t>CSRD –</w:t>
      </w:r>
      <w:r w:rsidRPr="003D1360">
        <w:rPr>
          <w:rStyle w:val="Naglaeno"/>
          <w:b w:val="0"/>
        </w:rPr>
        <w:t xml:space="preserve"> </w:t>
      </w:r>
      <w:r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>Direktiva (EU) 2022/2464 Europskog parlamenta i Vijeća od 14. prosinca 2022. o izmjeni Uredbe (EU) br. 537/2014, Direktive 2004/109/EZ, Direktive 2006/43/EZ i Direktive 2013/34/EU u pogledu korporativnog izvješćivanja o održivosti</w:t>
      </w:r>
    </w:p>
    <w:p w14:paraId="0C6E57DD" w14:textId="09B96481" w:rsidR="00DE4B03" w:rsidRPr="003D1360" w:rsidRDefault="001C13F2" w:rsidP="00DE4B03">
      <w:pPr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 xml:space="preserve">EBA </w:t>
      </w:r>
      <w:r w:rsidR="00787474" w:rsidRPr="003D1360">
        <w:rPr>
          <w:rFonts w:ascii="Times New Roman" w:hAnsi="Times New Roman" w:cs="Times New Roman"/>
          <w:sz w:val="24"/>
          <w:szCs w:val="24"/>
        </w:rPr>
        <w:t>(</w:t>
      </w:r>
      <w:r w:rsidR="00DE4B03" w:rsidRPr="003D1360">
        <w:rPr>
          <w:rFonts w:ascii="Times New Roman" w:hAnsi="Times New Roman" w:cs="Times New Roman"/>
          <w:sz w:val="24"/>
          <w:szCs w:val="24"/>
        </w:rPr>
        <w:t xml:space="preserve">engl. European Banking </w:t>
      </w:r>
      <w:proofErr w:type="spellStart"/>
      <w:r w:rsidR="00DE4B03" w:rsidRPr="003D1360">
        <w:rPr>
          <w:rFonts w:ascii="Times New Roman" w:hAnsi="Times New Roman" w:cs="Times New Roman"/>
          <w:sz w:val="24"/>
          <w:szCs w:val="24"/>
        </w:rPr>
        <w:t>Authority</w:t>
      </w:r>
      <w:proofErr w:type="spellEnd"/>
      <w:r w:rsidR="00787474" w:rsidRPr="003D1360">
        <w:rPr>
          <w:rFonts w:ascii="Times New Roman" w:hAnsi="Times New Roman" w:cs="Times New Roman"/>
          <w:sz w:val="24"/>
          <w:szCs w:val="24"/>
        </w:rPr>
        <w:t>)</w:t>
      </w:r>
      <w:r w:rsidR="000E2A91" w:rsidRPr="003D1360">
        <w:rPr>
          <w:rFonts w:ascii="Times New Roman" w:hAnsi="Times New Roman" w:cs="Times New Roman"/>
          <w:sz w:val="24"/>
          <w:szCs w:val="24"/>
        </w:rPr>
        <w:t xml:space="preserve"> - </w:t>
      </w:r>
      <w:r w:rsidR="00DE4B03"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>Europsko nadzorno tijelo za bankarstvo</w:t>
      </w:r>
      <w:r w:rsidR="00DE4B03" w:rsidRPr="003D13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D7C0D" w14:textId="5228601B" w:rsidR="00DE4B03" w:rsidRPr="003D1360" w:rsidRDefault="00DE4B03" w:rsidP="00DE4B03">
      <w:pPr>
        <w:rPr>
          <w:rFonts w:ascii="Times New Roman" w:hAnsi="Times New Roman" w:cs="Times New Roman"/>
          <w:sz w:val="24"/>
          <w:szCs w:val="24"/>
        </w:rPr>
      </w:pPr>
      <w:r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>EIB</w:t>
      </w:r>
      <w:r w:rsidR="001C13F2"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87474"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>(</w:t>
      </w:r>
      <w:r w:rsidR="000E2A91"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engl. European </w:t>
      </w:r>
      <w:proofErr w:type="spellStart"/>
      <w:r w:rsidR="000E2A91"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>Investment</w:t>
      </w:r>
      <w:proofErr w:type="spellEnd"/>
      <w:r w:rsidR="000E2A91"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Bank</w:t>
      </w:r>
      <w:r w:rsidR="00787474"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>)</w:t>
      </w:r>
      <w:r w:rsidR="000E2A91"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- </w:t>
      </w:r>
      <w:r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>Europska investicijska banka</w:t>
      </w:r>
      <w:r w:rsidRPr="003D13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CAC20" w14:textId="2CA62BE1" w:rsidR="00DE4B03" w:rsidRPr="003D1360" w:rsidRDefault="00DE4B03" w:rsidP="00DE4B03">
      <w:pPr>
        <w:rPr>
          <w:rStyle w:val="Naglaeno"/>
          <w:rFonts w:ascii="Times New Roman" w:hAnsi="Times New Roman" w:cs="Times New Roman"/>
          <w:b w:val="0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>EIOPA</w:t>
      </w:r>
      <w:r w:rsidR="001C13F2" w:rsidRPr="003D1360">
        <w:rPr>
          <w:rFonts w:ascii="Times New Roman" w:hAnsi="Times New Roman" w:cs="Times New Roman"/>
          <w:sz w:val="24"/>
          <w:szCs w:val="24"/>
        </w:rPr>
        <w:t xml:space="preserve"> </w:t>
      </w:r>
      <w:r w:rsidR="00787474" w:rsidRPr="003D1360">
        <w:rPr>
          <w:rFonts w:ascii="Times New Roman" w:hAnsi="Times New Roman" w:cs="Times New Roman"/>
          <w:sz w:val="24"/>
          <w:szCs w:val="24"/>
        </w:rPr>
        <w:t>(</w:t>
      </w:r>
      <w:r w:rsidRPr="003D1360">
        <w:rPr>
          <w:rFonts w:ascii="Times New Roman" w:hAnsi="Times New Roman" w:cs="Times New Roman"/>
          <w:sz w:val="24"/>
          <w:szCs w:val="24"/>
        </w:rPr>
        <w:t xml:space="preserve">engl. </w:t>
      </w:r>
      <w:r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European Insurance </w:t>
      </w:r>
      <w:proofErr w:type="spellStart"/>
      <w:r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>and</w:t>
      </w:r>
      <w:proofErr w:type="spellEnd"/>
      <w:r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>Occupational</w:t>
      </w:r>
      <w:proofErr w:type="spellEnd"/>
      <w:r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>Pensions</w:t>
      </w:r>
      <w:proofErr w:type="spellEnd"/>
      <w:r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>Authority</w:t>
      </w:r>
      <w:proofErr w:type="spellEnd"/>
      <w:r w:rsidR="00787474"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>)</w:t>
      </w:r>
      <w:r w:rsidR="000E2A91" w:rsidRPr="003D1360">
        <w:rPr>
          <w:rFonts w:ascii="Times New Roman" w:hAnsi="Times New Roman" w:cs="Times New Roman"/>
          <w:sz w:val="24"/>
          <w:szCs w:val="24"/>
        </w:rPr>
        <w:t xml:space="preserve"> - </w:t>
      </w:r>
      <w:r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>Europsko nadzorno tijelo za osiguranje i strukovno mirovinsko osiguranje</w:t>
      </w:r>
    </w:p>
    <w:p w14:paraId="690EFBBB" w14:textId="61813941" w:rsidR="00566C17" w:rsidRPr="003D1360" w:rsidRDefault="00566C17" w:rsidP="00DE4B03">
      <w:pPr>
        <w:rPr>
          <w:rStyle w:val="Naglaeno"/>
          <w:rFonts w:ascii="Times New Roman" w:hAnsi="Times New Roman" w:cs="Times New Roman"/>
          <w:b w:val="0"/>
          <w:sz w:val="24"/>
          <w:szCs w:val="24"/>
        </w:rPr>
      </w:pPr>
      <w:r w:rsidRPr="003D1360">
        <w:rPr>
          <w:rStyle w:val="Naglaeno"/>
          <w:rFonts w:ascii="Times New Roman" w:hAnsi="Times New Roman" w:cs="Times New Roman"/>
          <w:b w:val="0"/>
          <w:sz w:val="24"/>
          <w:szCs w:val="24"/>
        </w:rPr>
        <w:t>EK – Europska komisija</w:t>
      </w:r>
    </w:p>
    <w:p w14:paraId="6BBD2CCC" w14:textId="346E9F16" w:rsidR="008F3086" w:rsidRPr="003D1360" w:rsidRDefault="00DE4B03" w:rsidP="00DE4B03">
      <w:pPr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>ESG</w:t>
      </w:r>
      <w:r w:rsidR="001C13F2" w:rsidRPr="003D1360">
        <w:rPr>
          <w:rFonts w:ascii="Times New Roman" w:hAnsi="Times New Roman" w:cs="Times New Roman"/>
          <w:sz w:val="24"/>
          <w:szCs w:val="24"/>
        </w:rPr>
        <w:t xml:space="preserve"> </w:t>
      </w:r>
      <w:r w:rsidR="00787474" w:rsidRPr="003D1360">
        <w:rPr>
          <w:rFonts w:ascii="Times New Roman" w:hAnsi="Times New Roman" w:cs="Times New Roman"/>
          <w:sz w:val="24"/>
          <w:szCs w:val="24"/>
        </w:rPr>
        <w:t>(</w:t>
      </w:r>
      <w:r w:rsidRPr="003D1360">
        <w:rPr>
          <w:rFonts w:ascii="Times New Roman" w:hAnsi="Times New Roman" w:cs="Times New Roman"/>
          <w:sz w:val="24"/>
          <w:szCs w:val="24"/>
        </w:rPr>
        <w:t xml:space="preserve">engl. </w:t>
      </w:r>
      <w:proofErr w:type="spellStart"/>
      <w:r w:rsidR="001C13F2" w:rsidRPr="003D1360">
        <w:rPr>
          <w:rFonts w:ascii="Times New Roman" w:hAnsi="Times New Roman" w:cs="Times New Roman"/>
          <w:sz w:val="24"/>
          <w:szCs w:val="24"/>
        </w:rPr>
        <w:t>E</w:t>
      </w:r>
      <w:r w:rsidRPr="003D1360">
        <w:rPr>
          <w:rFonts w:ascii="Times New Roman" w:hAnsi="Times New Roman" w:cs="Times New Roman"/>
          <w:sz w:val="24"/>
          <w:szCs w:val="24"/>
        </w:rPr>
        <w:t>nvironmental</w:t>
      </w:r>
      <w:proofErr w:type="spellEnd"/>
      <w:r w:rsidRPr="003D13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13F2" w:rsidRPr="003D1360">
        <w:rPr>
          <w:rFonts w:ascii="Times New Roman" w:hAnsi="Times New Roman" w:cs="Times New Roman"/>
          <w:sz w:val="24"/>
          <w:szCs w:val="24"/>
        </w:rPr>
        <w:t>S</w:t>
      </w:r>
      <w:r w:rsidRPr="003D1360">
        <w:rPr>
          <w:rFonts w:ascii="Times New Roman" w:hAnsi="Times New Roman" w:cs="Times New Roman"/>
          <w:sz w:val="24"/>
          <w:szCs w:val="24"/>
        </w:rPr>
        <w:t>ocial</w:t>
      </w:r>
      <w:proofErr w:type="spellEnd"/>
      <w:r w:rsidRPr="003D13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13F2" w:rsidRPr="003D1360">
        <w:rPr>
          <w:rFonts w:ascii="Times New Roman" w:hAnsi="Times New Roman" w:cs="Times New Roman"/>
          <w:sz w:val="24"/>
          <w:szCs w:val="24"/>
        </w:rPr>
        <w:t>G</w:t>
      </w:r>
      <w:r w:rsidRPr="003D1360">
        <w:rPr>
          <w:rFonts w:ascii="Times New Roman" w:hAnsi="Times New Roman" w:cs="Times New Roman"/>
          <w:sz w:val="24"/>
          <w:szCs w:val="24"/>
        </w:rPr>
        <w:t>overnance</w:t>
      </w:r>
      <w:proofErr w:type="spellEnd"/>
      <w:r w:rsidR="00787474" w:rsidRPr="003D1360">
        <w:rPr>
          <w:rFonts w:ascii="Times New Roman" w:hAnsi="Times New Roman" w:cs="Times New Roman"/>
          <w:sz w:val="24"/>
          <w:szCs w:val="24"/>
        </w:rPr>
        <w:t>)</w:t>
      </w:r>
      <w:r w:rsidR="000E2A91" w:rsidRPr="003D1360">
        <w:rPr>
          <w:rFonts w:ascii="Times New Roman" w:hAnsi="Times New Roman" w:cs="Times New Roman"/>
          <w:sz w:val="24"/>
          <w:szCs w:val="24"/>
        </w:rPr>
        <w:t xml:space="preserve"> </w:t>
      </w:r>
      <w:r w:rsidRPr="003D1360">
        <w:rPr>
          <w:rFonts w:ascii="Times New Roman" w:hAnsi="Times New Roman" w:cs="Times New Roman"/>
          <w:sz w:val="24"/>
          <w:szCs w:val="24"/>
        </w:rPr>
        <w:t xml:space="preserve">- okolišni, </w:t>
      </w:r>
      <w:r w:rsidR="001C13F2" w:rsidRPr="003D1360">
        <w:rPr>
          <w:rFonts w:ascii="Times New Roman" w:hAnsi="Times New Roman" w:cs="Times New Roman"/>
          <w:sz w:val="24"/>
          <w:szCs w:val="24"/>
        </w:rPr>
        <w:t>društveni</w:t>
      </w:r>
      <w:r w:rsidRPr="003D1360">
        <w:rPr>
          <w:rFonts w:ascii="Times New Roman" w:hAnsi="Times New Roman" w:cs="Times New Roman"/>
          <w:sz w:val="24"/>
          <w:szCs w:val="24"/>
        </w:rPr>
        <w:t xml:space="preserve"> i upravljački čimbenici</w:t>
      </w:r>
    </w:p>
    <w:p w14:paraId="57644AAD" w14:textId="12D9E862" w:rsidR="00DE4B03" w:rsidRPr="003D1360" w:rsidRDefault="008F3086" w:rsidP="00DE4B03">
      <w:pPr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>ESRS – Europski standardi izvještavanja o održivosti</w:t>
      </w:r>
    </w:p>
    <w:p w14:paraId="3D91AB3C" w14:textId="336D43BA" w:rsidR="00DE4B03" w:rsidRPr="003D1360" w:rsidRDefault="00DE4B03" w:rsidP="00DE4B03">
      <w:pPr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>FINA</w:t>
      </w:r>
      <w:r w:rsidR="001C13F2" w:rsidRPr="003D1360">
        <w:rPr>
          <w:rFonts w:ascii="Times New Roman" w:hAnsi="Times New Roman" w:cs="Times New Roman"/>
          <w:sz w:val="24"/>
          <w:szCs w:val="24"/>
        </w:rPr>
        <w:t xml:space="preserve"> </w:t>
      </w:r>
      <w:r w:rsidRPr="003D1360">
        <w:rPr>
          <w:rFonts w:ascii="Times New Roman" w:hAnsi="Times New Roman" w:cs="Times New Roman"/>
          <w:sz w:val="24"/>
          <w:szCs w:val="24"/>
        </w:rPr>
        <w:t>- Financijska agencija</w:t>
      </w:r>
    </w:p>
    <w:p w14:paraId="1862F537" w14:textId="4CB4C5D4" w:rsidR="00DE4B03" w:rsidRPr="003D1360" w:rsidRDefault="00DE4B03" w:rsidP="00DE4B03">
      <w:pPr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>H</w:t>
      </w:r>
      <w:r w:rsidR="000E2A91" w:rsidRPr="003D1360">
        <w:rPr>
          <w:rFonts w:ascii="Times New Roman" w:hAnsi="Times New Roman" w:cs="Times New Roman"/>
          <w:sz w:val="24"/>
          <w:szCs w:val="24"/>
        </w:rPr>
        <w:t>ANFA</w:t>
      </w:r>
      <w:r w:rsidR="001C13F2" w:rsidRPr="003D1360">
        <w:rPr>
          <w:rFonts w:ascii="Times New Roman" w:hAnsi="Times New Roman" w:cs="Times New Roman"/>
          <w:sz w:val="24"/>
          <w:szCs w:val="24"/>
        </w:rPr>
        <w:t xml:space="preserve"> </w:t>
      </w:r>
      <w:r w:rsidRPr="003D1360">
        <w:rPr>
          <w:rFonts w:ascii="Times New Roman" w:hAnsi="Times New Roman" w:cs="Times New Roman"/>
          <w:sz w:val="24"/>
          <w:szCs w:val="24"/>
        </w:rPr>
        <w:t>- Hrvatska agencija za nadzor financijskih usluga</w:t>
      </w:r>
    </w:p>
    <w:p w14:paraId="2765FF58" w14:textId="14457AF5" w:rsidR="00DE4B03" w:rsidRPr="003D1360" w:rsidRDefault="00DE4B03" w:rsidP="00DE4B03">
      <w:pPr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>HBOR</w:t>
      </w:r>
      <w:r w:rsidR="001C13F2" w:rsidRPr="003D1360">
        <w:rPr>
          <w:rFonts w:ascii="Times New Roman" w:hAnsi="Times New Roman" w:cs="Times New Roman"/>
          <w:sz w:val="24"/>
          <w:szCs w:val="24"/>
        </w:rPr>
        <w:t xml:space="preserve"> </w:t>
      </w:r>
      <w:r w:rsidRPr="003D1360">
        <w:rPr>
          <w:rFonts w:ascii="Times New Roman" w:hAnsi="Times New Roman" w:cs="Times New Roman"/>
          <w:sz w:val="24"/>
          <w:szCs w:val="24"/>
        </w:rPr>
        <w:t>- Hrvatska banka za obnovu i razvitak</w:t>
      </w:r>
    </w:p>
    <w:p w14:paraId="0F01ADEF" w14:textId="028E8DBA" w:rsidR="00DE4B03" w:rsidRPr="003D1360" w:rsidRDefault="00DE4B03" w:rsidP="00DE4B03">
      <w:pPr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>HGK</w:t>
      </w:r>
      <w:r w:rsidR="001C13F2" w:rsidRPr="003D1360">
        <w:rPr>
          <w:rFonts w:ascii="Times New Roman" w:hAnsi="Times New Roman" w:cs="Times New Roman"/>
          <w:sz w:val="24"/>
          <w:szCs w:val="24"/>
        </w:rPr>
        <w:t xml:space="preserve"> </w:t>
      </w:r>
      <w:r w:rsidRPr="003D1360">
        <w:rPr>
          <w:rFonts w:ascii="Times New Roman" w:hAnsi="Times New Roman" w:cs="Times New Roman"/>
          <w:sz w:val="24"/>
          <w:szCs w:val="24"/>
        </w:rPr>
        <w:t>- Hrvatska gospodarska komora</w:t>
      </w:r>
    </w:p>
    <w:p w14:paraId="4E7A70EE" w14:textId="4E1621C5" w:rsidR="00DE4B03" w:rsidRPr="003D1360" w:rsidRDefault="00DE4B03" w:rsidP="00DE4B03">
      <w:pPr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>HNB</w:t>
      </w:r>
      <w:r w:rsidR="00787474" w:rsidRPr="003D1360">
        <w:rPr>
          <w:rFonts w:ascii="Times New Roman" w:hAnsi="Times New Roman" w:cs="Times New Roman"/>
          <w:sz w:val="24"/>
          <w:szCs w:val="24"/>
        </w:rPr>
        <w:t xml:space="preserve"> </w:t>
      </w:r>
      <w:r w:rsidRPr="003D1360">
        <w:rPr>
          <w:rFonts w:ascii="Times New Roman" w:hAnsi="Times New Roman" w:cs="Times New Roman"/>
          <w:sz w:val="24"/>
          <w:szCs w:val="24"/>
        </w:rPr>
        <w:t xml:space="preserve">- Hrvatska narodna banka </w:t>
      </w:r>
    </w:p>
    <w:p w14:paraId="0B18B5C1" w14:textId="75088E70" w:rsidR="00765711" w:rsidRPr="003D1360" w:rsidRDefault="00765711" w:rsidP="00DE4B03">
      <w:pPr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>IICA – Međunarodni institut za klimatske promjene</w:t>
      </w:r>
    </w:p>
    <w:p w14:paraId="4A4B42C3" w14:textId="45C2CA9C" w:rsidR="00DE4B03" w:rsidRPr="003D1360" w:rsidRDefault="00DE4B03" w:rsidP="00DE4B03">
      <w:pPr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>MINGO</w:t>
      </w:r>
      <w:r w:rsidR="001C13F2" w:rsidRPr="003D1360">
        <w:rPr>
          <w:rFonts w:ascii="Times New Roman" w:hAnsi="Times New Roman" w:cs="Times New Roman"/>
          <w:sz w:val="24"/>
          <w:szCs w:val="24"/>
        </w:rPr>
        <w:t xml:space="preserve"> </w:t>
      </w:r>
      <w:r w:rsidRPr="003D1360">
        <w:rPr>
          <w:rFonts w:ascii="Times New Roman" w:hAnsi="Times New Roman" w:cs="Times New Roman"/>
          <w:sz w:val="24"/>
          <w:szCs w:val="24"/>
        </w:rPr>
        <w:t xml:space="preserve">- Ministarstvo gospodarstva </w:t>
      </w:r>
    </w:p>
    <w:p w14:paraId="444D06AF" w14:textId="5D5F022D" w:rsidR="00DE4B03" w:rsidRPr="003D1360" w:rsidRDefault="00DE4B03" w:rsidP="00DE4B03">
      <w:pPr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>MFIN</w:t>
      </w:r>
      <w:r w:rsidR="001C13F2" w:rsidRPr="003D1360">
        <w:rPr>
          <w:rFonts w:ascii="Times New Roman" w:hAnsi="Times New Roman" w:cs="Times New Roman"/>
          <w:sz w:val="24"/>
          <w:szCs w:val="24"/>
        </w:rPr>
        <w:t xml:space="preserve"> </w:t>
      </w:r>
      <w:r w:rsidRPr="003D1360">
        <w:rPr>
          <w:rFonts w:ascii="Times New Roman" w:hAnsi="Times New Roman" w:cs="Times New Roman"/>
          <w:sz w:val="24"/>
          <w:szCs w:val="24"/>
        </w:rPr>
        <w:t>- Ministarstvo financija</w:t>
      </w:r>
    </w:p>
    <w:p w14:paraId="5A064B3A" w14:textId="16045BA5" w:rsidR="00DE4B03" w:rsidRPr="003D1360" w:rsidRDefault="00DE4B03" w:rsidP="00DE4B03">
      <w:pPr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color w:val="000000"/>
          <w:sz w:val="24"/>
          <w:szCs w:val="24"/>
        </w:rPr>
        <w:t>MRRFEU</w:t>
      </w:r>
      <w:r w:rsidR="001C13F2" w:rsidRPr="003D13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1360">
        <w:rPr>
          <w:rFonts w:ascii="Times New Roman" w:hAnsi="Times New Roman" w:cs="Times New Roman"/>
          <w:color w:val="000000"/>
          <w:sz w:val="24"/>
          <w:szCs w:val="24"/>
        </w:rPr>
        <w:t>- Ministarstvo regionalnog razvoja i fondova E</w:t>
      </w:r>
      <w:r w:rsidR="00DE0003">
        <w:rPr>
          <w:rFonts w:ascii="Times New Roman" w:hAnsi="Times New Roman" w:cs="Times New Roman"/>
          <w:color w:val="000000"/>
          <w:sz w:val="24"/>
          <w:szCs w:val="24"/>
        </w:rPr>
        <w:t>uropske unije</w:t>
      </w:r>
    </w:p>
    <w:p w14:paraId="3E80E03D" w14:textId="4768D7A5" w:rsidR="00DE4B03" w:rsidRPr="003D1360" w:rsidRDefault="00DE4B03" w:rsidP="00DE4B03">
      <w:pPr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t>MZOZT</w:t>
      </w:r>
      <w:r w:rsidR="001C13F2" w:rsidRPr="003D1360">
        <w:rPr>
          <w:rFonts w:ascii="Times New Roman" w:hAnsi="Times New Roman" w:cs="Times New Roman"/>
          <w:sz w:val="24"/>
          <w:szCs w:val="24"/>
        </w:rPr>
        <w:t xml:space="preserve"> </w:t>
      </w:r>
      <w:r w:rsidRPr="003D1360">
        <w:rPr>
          <w:rFonts w:ascii="Times New Roman" w:hAnsi="Times New Roman" w:cs="Times New Roman"/>
          <w:sz w:val="24"/>
          <w:szCs w:val="24"/>
        </w:rPr>
        <w:t>- Ministarstvo zaštite okoliša i zelene tranzicije</w:t>
      </w:r>
    </w:p>
    <w:p w14:paraId="1C25AB69" w14:textId="2B848FE1" w:rsidR="008F3086" w:rsidRPr="003D1360" w:rsidRDefault="008F3086" w:rsidP="00DE4B03">
      <w:pPr>
        <w:rPr>
          <w:rFonts w:ascii="Times New Roman" w:hAnsi="Times New Roman" w:cs="Times New Roman"/>
          <w:sz w:val="24"/>
          <w:szCs w:val="24"/>
        </w:rPr>
      </w:pPr>
      <w:r w:rsidRPr="003D1360">
        <w:rPr>
          <w:rFonts w:ascii="Times New Roman" w:hAnsi="Times New Roman" w:cs="Times New Roman"/>
          <w:sz w:val="24"/>
          <w:szCs w:val="24"/>
        </w:rPr>
        <w:lastRenderedPageBreak/>
        <w:t>SFDR - Uredba (EU) 2019/2088 Europskog parlamenta i Vijeća od 27.studenoga 2019. o objavama povezanim s održivosti u sektoru financijskih usluga</w:t>
      </w:r>
    </w:p>
    <w:p w14:paraId="78755448" w14:textId="77777777" w:rsidR="00DE4B03" w:rsidRPr="003D1360" w:rsidRDefault="00DE4B03" w:rsidP="00C34A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E4B03" w:rsidRPr="003D1360" w:rsidSect="00FB1E82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5490A" w14:textId="77777777" w:rsidR="008A2F0C" w:rsidRDefault="008A2F0C" w:rsidP="00C41C69">
      <w:pPr>
        <w:spacing w:after="0" w:line="240" w:lineRule="auto"/>
      </w:pPr>
      <w:r>
        <w:separator/>
      </w:r>
    </w:p>
  </w:endnote>
  <w:endnote w:type="continuationSeparator" w:id="0">
    <w:p w14:paraId="3A989BB3" w14:textId="77777777" w:rsidR="008A2F0C" w:rsidRDefault="008A2F0C" w:rsidP="00C4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DCCF0" w14:textId="5E87EA2B" w:rsidR="00C27B24" w:rsidRDefault="00C27B24">
    <w:pPr>
      <w:pStyle w:val="Podnoje"/>
      <w:jc w:val="center"/>
    </w:pPr>
  </w:p>
  <w:p w14:paraId="0396F482" w14:textId="77777777" w:rsidR="00E91D32" w:rsidRDefault="00E91D3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641549"/>
      <w:docPartObj>
        <w:docPartGallery w:val="Page Numbers (Bottom of Page)"/>
        <w:docPartUnique/>
      </w:docPartObj>
    </w:sdtPr>
    <w:sdtEndPr/>
    <w:sdtContent>
      <w:p w14:paraId="08915984" w14:textId="2E67AC20" w:rsidR="00C27B24" w:rsidRDefault="00C27B2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F94">
          <w:rPr>
            <w:noProof/>
          </w:rPr>
          <w:t>18</w:t>
        </w:r>
        <w:r>
          <w:fldChar w:fldCharType="end"/>
        </w:r>
      </w:p>
    </w:sdtContent>
  </w:sdt>
  <w:p w14:paraId="4B23E2B6" w14:textId="77777777" w:rsidR="00C27B24" w:rsidRDefault="00C27B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F06A3" w14:textId="77777777" w:rsidR="008A2F0C" w:rsidRDefault="008A2F0C" w:rsidP="00C41C69">
      <w:pPr>
        <w:spacing w:after="0" w:line="240" w:lineRule="auto"/>
      </w:pPr>
      <w:r>
        <w:separator/>
      </w:r>
    </w:p>
  </w:footnote>
  <w:footnote w:type="continuationSeparator" w:id="0">
    <w:p w14:paraId="2F3A5C21" w14:textId="77777777" w:rsidR="008A2F0C" w:rsidRDefault="008A2F0C" w:rsidP="00C41C69">
      <w:pPr>
        <w:spacing w:after="0" w:line="240" w:lineRule="auto"/>
      </w:pPr>
      <w:r>
        <w:continuationSeparator/>
      </w:r>
    </w:p>
  </w:footnote>
  <w:footnote w:id="1">
    <w:p w14:paraId="53716C59" w14:textId="49573221" w:rsidR="00E91D32" w:rsidRPr="00C34AF0" w:rsidRDefault="00E91D32" w:rsidP="00160DAD">
      <w:pPr>
        <w:pStyle w:val="title-bold"/>
        <w:shd w:val="clear" w:color="auto" w:fill="FFFFFF"/>
        <w:spacing w:before="0" w:beforeAutospacing="0" w:after="0" w:afterAutospacing="0"/>
        <w:jc w:val="both"/>
        <w:rPr>
          <w:rFonts w:eastAsia="Calibri"/>
          <w:sz w:val="16"/>
          <w:szCs w:val="16"/>
          <w:lang w:eastAsia="en-US"/>
        </w:rPr>
      </w:pPr>
      <w:r w:rsidRPr="00C34AF0">
        <w:rPr>
          <w:rStyle w:val="Referencafusnote"/>
          <w:rFonts w:eastAsiaTheme="minorHAnsi"/>
          <w:sz w:val="16"/>
          <w:szCs w:val="16"/>
          <w:lang w:eastAsia="en-US"/>
        </w:rPr>
        <w:footnoteRef/>
      </w:r>
      <w:r w:rsidRPr="00C34AF0">
        <w:rPr>
          <w:sz w:val="16"/>
          <w:szCs w:val="16"/>
        </w:rPr>
        <w:t xml:space="preserve"> </w:t>
      </w:r>
      <w:r w:rsidRPr="00C34AF0">
        <w:rPr>
          <w:rFonts w:eastAsia="Calibri"/>
          <w:sz w:val="16"/>
          <w:szCs w:val="16"/>
          <w:lang w:eastAsia="en-US"/>
        </w:rPr>
        <w:t>https://eur-lex.europa.eu/legal-content/HR/ALL/?uri=CELEX%3A52018DC0097</w:t>
      </w:r>
    </w:p>
  </w:footnote>
  <w:footnote w:id="2">
    <w:p w14:paraId="63D10E35" w14:textId="1743FBE1" w:rsidR="00E91D32" w:rsidRPr="00C34AF0" w:rsidRDefault="00E91D32">
      <w:pPr>
        <w:pStyle w:val="Tekstfusnote"/>
        <w:rPr>
          <w:rFonts w:ascii="Times New Roman" w:hAnsi="Times New Roman" w:cs="Times New Roman"/>
          <w:sz w:val="16"/>
          <w:szCs w:val="16"/>
        </w:rPr>
      </w:pPr>
      <w:r w:rsidRPr="00C34AF0">
        <w:rPr>
          <w:rStyle w:val="Referencafusnote"/>
          <w:rFonts w:ascii="Times New Roman" w:hAnsi="Times New Roman" w:cs="Times New Roman"/>
          <w:sz w:val="16"/>
          <w:szCs w:val="16"/>
        </w:rPr>
        <w:footnoteRef/>
      </w:r>
      <w:r w:rsidRPr="00C34AF0">
        <w:rPr>
          <w:rFonts w:ascii="Times New Roman" w:hAnsi="Times New Roman" w:cs="Times New Roman"/>
          <w:sz w:val="16"/>
          <w:szCs w:val="16"/>
        </w:rPr>
        <w:t xml:space="preserve"> https://eur-lex.europa.eu/legal-content/HR/TXT/?uri=celex%3A52019DC0640</w:t>
      </w:r>
    </w:p>
  </w:footnote>
  <w:footnote w:id="3">
    <w:p w14:paraId="762E4A79" w14:textId="161C609D" w:rsidR="00E91D32" w:rsidRPr="00C34AF0" w:rsidRDefault="00E91D32" w:rsidP="00160DAD">
      <w:pPr>
        <w:pStyle w:val="Tekstfusnote"/>
        <w:jc w:val="both"/>
        <w:rPr>
          <w:rFonts w:ascii="Times New Roman" w:hAnsi="Times New Roman" w:cs="Times New Roman"/>
          <w:sz w:val="16"/>
          <w:szCs w:val="16"/>
        </w:rPr>
      </w:pPr>
      <w:r w:rsidRPr="00C34AF0">
        <w:rPr>
          <w:rStyle w:val="Referencafusnote"/>
          <w:rFonts w:ascii="Times New Roman" w:hAnsi="Times New Roman" w:cs="Times New Roman"/>
          <w:sz w:val="16"/>
          <w:szCs w:val="16"/>
        </w:rPr>
        <w:footnoteRef/>
      </w:r>
      <w:r w:rsidRPr="00C34AF0">
        <w:rPr>
          <w:rFonts w:ascii="Times New Roman" w:hAnsi="Times New Roman" w:cs="Times New Roman"/>
          <w:sz w:val="16"/>
          <w:szCs w:val="16"/>
        </w:rPr>
        <w:t xml:space="preserve"> https://eur-lex.europa.eu/legal-content/HR/TXT/?uri=CELEX%3A32019R2088</w:t>
      </w:r>
    </w:p>
  </w:footnote>
  <w:footnote w:id="4">
    <w:p w14:paraId="32A0721D" w14:textId="1EA75FC3" w:rsidR="00E91D32" w:rsidRDefault="00E91D32">
      <w:pPr>
        <w:pStyle w:val="Tekstfusnote"/>
      </w:pPr>
      <w:r w:rsidRPr="00C34AF0">
        <w:rPr>
          <w:rStyle w:val="Referencafusnote"/>
          <w:rFonts w:ascii="Times New Roman" w:hAnsi="Times New Roman" w:cs="Times New Roman"/>
          <w:sz w:val="16"/>
          <w:szCs w:val="16"/>
        </w:rPr>
        <w:footnoteRef/>
      </w:r>
      <w:r w:rsidRPr="00C34AF0">
        <w:rPr>
          <w:rFonts w:ascii="Times New Roman" w:hAnsi="Times New Roman" w:cs="Times New Roman"/>
          <w:sz w:val="16"/>
          <w:szCs w:val="16"/>
        </w:rPr>
        <w:t xml:space="preserve"> https://eur-lex.europa.eu/legal-content/HR/TXT/?uri=celex:32020R0852</w:t>
      </w:r>
    </w:p>
  </w:footnote>
  <w:footnote w:id="5">
    <w:p w14:paraId="03BC9BC3" w14:textId="42DC5108" w:rsidR="00E91D32" w:rsidRPr="00C34AF0" w:rsidRDefault="00E91D32">
      <w:pPr>
        <w:pStyle w:val="Tekstfusnote"/>
        <w:rPr>
          <w:rFonts w:ascii="Times New Roman" w:hAnsi="Times New Roman" w:cs="Times New Roman"/>
          <w:sz w:val="16"/>
          <w:szCs w:val="16"/>
        </w:rPr>
      </w:pPr>
      <w:r w:rsidRPr="00C34AF0">
        <w:rPr>
          <w:rStyle w:val="Referencafusnote"/>
          <w:rFonts w:ascii="Times New Roman" w:hAnsi="Times New Roman" w:cs="Times New Roman"/>
          <w:sz w:val="16"/>
          <w:szCs w:val="16"/>
        </w:rPr>
        <w:footnoteRef/>
      </w:r>
      <w:r w:rsidRPr="00C34AF0">
        <w:rPr>
          <w:rFonts w:ascii="Times New Roman" w:hAnsi="Times New Roman" w:cs="Times New Roman"/>
          <w:sz w:val="16"/>
          <w:szCs w:val="16"/>
        </w:rPr>
        <w:t xml:space="preserve"> https://eur-lex.europa.eu/legal-content/HR/TXT/?uri=CELEX%3A32022L2464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48DF"/>
    <w:multiLevelType w:val="multilevel"/>
    <w:tmpl w:val="9FE6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B06EF"/>
    <w:multiLevelType w:val="multilevel"/>
    <w:tmpl w:val="83D0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A10D9"/>
    <w:multiLevelType w:val="hybridMultilevel"/>
    <w:tmpl w:val="A620B7B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4136"/>
    <w:multiLevelType w:val="hybridMultilevel"/>
    <w:tmpl w:val="4CF47E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F58E6"/>
    <w:multiLevelType w:val="hybridMultilevel"/>
    <w:tmpl w:val="79E85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4F72"/>
    <w:multiLevelType w:val="multilevel"/>
    <w:tmpl w:val="F87A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5F600F"/>
    <w:multiLevelType w:val="hybridMultilevel"/>
    <w:tmpl w:val="9CF6FE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D1ADC"/>
    <w:multiLevelType w:val="hybridMultilevel"/>
    <w:tmpl w:val="1F822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E46E8"/>
    <w:multiLevelType w:val="multilevel"/>
    <w:tmpl w:val="0080A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5151C"/>
    <w:multiLevelType w:val="hybridMultilevel"/>
    <w:tmpl w:val="FE5CCA78"/>
    <w:lvl w:ilvl="0" w:tplc="4D24F0AC">
      <w:start w:val="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513D2"/>
    <w:multiLevelType w:val="multilevel"/>
    <w:tmpl w:val="4E84AB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7A6C73"/>
    <w:multiLevelType w:val="hybridMultilevel"/>
    <w:tmpl w:val="FA5C38F2"/>
    <w:lvl w:ilvl="0" w:tplc="20A01E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E614F"/>
    <w:multiLevelType w:val="hybridMultilevel"/>
    <w:tmpl w:val="A4967F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54EFA"/>
    <w:multiLevelType w:val="multilevel"/>
    <w:tmpl w:val="2C88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222942"/>
    <w:multiLevelType w:val="hybridMultilevel"/>
    <w:tmpl w:val="FDD81122"/>
    <w:lvl w:ilvl="0" w:tplc="CD327D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B689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80F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A251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9605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B47B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B892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AAAB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A87A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44A55"/>
    <w:multiLevelType w:val="hybridMultilevel"/>
    <w:tmpl w:val="EA7C13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0A2A2E"/>
    <w:multiLevelType w:val="hybridMultilevel"/>
    <w:tmpl w:val="BB9CC65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83265F"/>
    <w:multiLevelType w:val="multilevel"/>
    <w:tmpl w:val="7924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DB7298"/>
    <w:multiLevelType w:val="hybridMultilevel"/>
    <w:tmpl w:val="FA5C38F2"/>
    <w:lvl w:ilvl="0" w:tplc="20A01E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1668C"/>
    <w:multiLevelType w:val="hybridMultilevel"/>
    <w:tmpl w:val="4D24DBA0"/>
    <w:lvl w:ilvl="0" w:tplc="81CCF1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B0486"/>
    <w:multiLevelType w:val="hybridMultilevel"/>
    <w:tmpl w:val="552CF8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373EA"/>
    <w:multiLevelType w:val="multilevel"/>
    <w:tmpl w:val="424C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8A3C5B"/>
    <w:multiLevelType w:val="hybridMultilevel"/>
    <w:tmpl w:val="80D28C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2"/>
  </w:num>
  <w:num w:numId="5">
    <w:abstractNumId w:val="21"/>
  </w:num>
  <w:num w:numId="6">
    <w:abstractNumId w:val="8"/>
  </w:num>
  <w:num w:numId="7">
    <w:abstractNumId w:val="13"/>
  </w:num>
  <w:num w:numId="8">
    <w:abstractNumId w:val="15"/>
  </w:num>
  <w:num w:numId="9">
    <w:abstractNumId w:val="17"/>
  </w:num>
  <w:num w:numId="10">
    <w:abstractNumId w:val="5"/>
  </w:num>
  <w:num w:numId="11">
    <w:abstractNumId w:val="0"/>
  </w:num>
  <w:num w:numId="12">
    <w:abstractNumId w:val="20"/>
  </w:num>
  <w:num w:numId="13">
    <w:abstractNumId w:val="3"/>
  </w:num>
  <w:num w:numId="14">
    <w:abstractNumId w:val="22"/>
  </w:num>
  <w:num w:numId="15">
    <w:abstractNumId w:val="10"/>
  </w:num>
  <w:num w:numId="16">
    <w:abstractNumId w:val="9"/>
  </w:num>
  <w:num w:numId="17">
    <w:abstractNumId w:val="7"/>
  </w:num>
  <w:num w:numId="18">
    <w:abstractNumId w:val="19"/>
  </w:num>
  <w:num w:numId="19">
    <w:abstractNumId w:val="16"/>
  </w:num>
  <w:num w:numId="20">
    <w:abstractNumId w:val="4"/>
  </w:num>
  <w:num w:numId="21">
    <w:abstractNumId w:val="1"/>
  </w:num>
  <w:num w:numId="22">
    <w:abstractNumId w:val="1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69"/>
    <w:rsid w:val="00002FA3"/>
    <w:rsid w:val="0002090E"/>
    <w:rsid w:val="00033298"/>
    <w:rsid w:val="00035A73"/>
    <w:rsid w:val="00046E54"/>
    <w:rsid w:val="000479A6"/>
    <w:rsid w:val="00047D7C"/>
    <w:rsid w:val="00055946"/>
    <w:rsid w:val="00056541"/>
    <w:rsid w:val="00057A8F"/>
    <w:rsid w:val="00062A82"/>
    <w:rsid w:val="00066305"/>
    <w:rsid w:val="00067988"/>
    <w:rsid w:val="00077A95"/>
    <w:rsid w:val="0008534D"/>
    <w:rsid w:val="0009467D"/>
    <w:rsid w:val="00095F4B"/>
    <w:rsid w:val="000969BC"/>
    <w:rsid w:val="000A6517"/>
    <w:rsid w:val="000A6A28"/>
    <w:rsid w:val="000B1F94"/>
    <w:rsid w:val="000B387A"/>
    <w:rsid w:val="000B753B"/>
    <w:rsid w:val="000C0D08"/>
    <w:rsid w:val="000C6FC4"/>
    <w:rsid w:val="000C7BDC"/>
    <w:rsid w:val="000D2653"/>
    <w:rsid w:val="000E2A91"/>
    <w:rsid w:val="000E3013"/>
    <w:rsid w:val="000E680A"/>
    <w:rsid w:val="000F53D9"/>
    <w:rsid w:val="000F7180"/>
    <w:rsid w:val="0010164F"/>
    <w:rsid w:val="001033CB"/>
    <w:rsid w:val="00103FDF"/>
    <w:rsid w:val="00104675"/>
    <w:rsid w:val="00114AA9"/>
    <w:rsid w:val="0011610D"/>
    <w:rsid w:val="00120CD6"/>
    <w:rsid w:val="00127C06"/>
    <w:rsid w:val="001378EB"/>
    <w:rsid w:val="00160DAD"/>
    <w:rsid w:val="00164F4B"/>
    <w:rsid w:val="001676A3"/>
    <w:rsid w:val="00173782"/>
    <w:rsid w:val="00174247"/>
    <w:rsid w:val="001745D4"/>
    <w:rsid w:val="001817BF"/>
    <w:rsid w:val="00184920"/>
    <w:rsid w:val="001859FC"/>
    <w:rsid w:val="00197C94"/>
    <w:rsid w:val="001A3ED9"/>
    <w:rsid w:val="001B6FB1"/>
    <w:rsid w:val="001C02C0"/>
    <w:rsid w:val="001C13F2"/>
    <w:rsid w:val="001C422B"/>
    <w:rsid w:val="001C68D1"/>
    <w:rsid w:val="001D0811"/>
    <w:rsid w:val="001D3D40"/>
    <w:rsid w:val="001D6DDB"/>
    <w:rsid w:val="001D7B35"/>
    <w:rsid w:val="001E5DB6"/>
    <w:rsid w:val="001F626E"/>
    <w:rsid w:val="001F6C6D"/>
    <w:rsid w:val="002019E3"/>
    <w:rsid w:val="00203649"/>
    <w:rsid w:val="0020618C"/>
    <w:rsid w:val="00206244"/>
    <w:rsid w:val="0021109D"/>
    <w:rsid w:val="00212720"/>
    <w:rsid w:val="002136F5"/>
    <w:rsid w:val="00221EAE"/>
    <w:rsid w:val="002267E3"/>
    <w:rsid w:val="002313A6"/>
    <w:rsid w:val="00235007"/>
    <w:rsid w:val="002439C2"/>
    <w:rsid w:val="00244D6B"/>
    <w:rsid w:val="00254D3D"/>
    <w:rsid w:val="002559A7"/>
    <w:rsid w:val="00256D29"/>
    <w:rsid w:val="002572A7"/>
    <w:rsid w:val="0026554C"/>
    <w:rsid w:val="002670B9"/>
    <w:rsid w:val="00273C53"/>
    <w:rsid w:val="002777B5"/>
    <w:rsid w:val="00283DD2"/>
    <w:rsid w:val="0028724D"/>
    <w:rsid w:val="00294081"/>
    <w:rsid w:val="00295EC3"/>
    <w:rsid w:val="002968D1"/>
    <w:rsid w:val="002A09B3"/>
    <w:rsid w:val="002A5DD7"/>
    <w:rsid w:val="002B4BB9"/>
    <w:rsid w:val="002B6435"/>
    <w:rsid w:val="002C3027"/>
    <w:rsid w:val="002C61C8"/>
    <w:rsid w:val="002C7993"/>
    <w:rsid w:val="002D0190"/>
    <w:rsid w:val="002D3151"/>
    <w:rsid w:val="002D600E"/>
    <w:rsid w:val="002D76D3"/>
    <w:rsid w:val="002D7DFB"/>
    <w:rsid w:val="002E27BD"/>
    <w:rsid w:val="002E7763"/>
    <w:rsid w:val="002F07D8"/>
    <w:rsid w:val="002F1494"/>
    <w:rsid w:val="002F2B79"/>
    <w:rsid w:val="002F3401"/>
    <w:rsid w:val="002F5E7C"/>
    <w:rsid w:val="002F6E76"/>
    <w:rsid w:val="00302E6B"/>
    <w:rsid w:val="0030717B"/>
    <w:rsid w:val="00307F38"/>
    <w:rsid w:val="00312C7B"/>
    <w:rsid w:val="0031374C"/>
    <w:rsid w:val="00314E57"/>
    <w:rsid w:val="00323D0A"/>
    <w:rsid w:val="003377DF"/>
    <w:rsid w:val="00337F7F"/>
    <w:rsid w:val="00342BDB"/>
    <w:rsid w:val="00344029"/>
    <w:rsid w:val="00345FD3"/>
    <w:rsid w:val="003501EE"/>
    <w:rsid w:val="00351104"/>
    <w:rsid w:val="00357C49"/>
    <w:rsid w:val="00360438"/>
    <w:rsid w:val="003673F5"/>
    <w:rsid w:val="00383D1E"/>
    <w:rsid w:val="00384FE3"/>
    <w:rsid w:val="00385144"/>
    <w:rsid w:val="003A5086"/>
    <w:rsid w:val="003B1A30"/>
    <w:rsid w:val="003B3474"/>
    <w:rsid w:val="003B56A0"/>
    <w:rsid w:val="003D1360"/>
    <w:rsid w:val="003D3CD4"/>
    <w:rsid w:val="003E520E"/>
    <w:rsid w:val="003E650A"/>
    <w:rsid w:val="003E69E3"/>
    <w:rsid w:val="00404365"/>
    <w:rsid w:val="0042129B"/>
    <w:rsid w:val="00421D04"/>
    <w:rsid w:val="004349FB"/>
    <w:rsid w:val="004353CB"/>
    <w:rsid w:val="004403A3"/>
    <w:rsid w:val="004468C4"/>
    <w:rsid w:val="004636D8"/>
    <w:rsid w:val="00470EDD"/>
    <w:rsid w:val="0047300D"/>
    <w:rsid w:val="00475F24"/>
    <w:rsid w:val="0048156A"/>
    <w:rsid w:val="00483F1D"/>
    <w:rsid w:val="004845D4"/>
    <w:rsid w:val="00490E4C"/>
    <w:rsid w:val="00494D54"/>
    <w:rsid w:val="004976AF"/>
    <w:rsid w:val="004A2B2B"/>
    <w:rsid w:val="004A3D35"/>
    <w:rsid w:val="004A4EA5"/>
    <w:rsid w:val="004A4F54"/>
    <w:rsid w:val="004B17C9"/>
    <w:rsid w:val="004B70D9"/>
    <w:rsid w:val="004B71AC"/>
    <w:rsid w:val="004C217A"/>
    <w:rsid w:val="004C33C5"/>
    <w:rsid w:val="004E16EA"/>
    <w:rsid w:val="004E27D7"/>
    <w:rsid w:val="004E2898"/>
    <w:rsid w:val="004E2C03"/>
    <w:rsid w:val="004E4732"/>
    <w:rsid w:val="00541EBA"/>
    <w:rsid w:val="00544501"/>
    <w:rsid w:val="005463A7"/>
    <w:rsid w:val="0054677F"/>
    <w:rsid w:val="00546EA8"/>
    <w:rsid w:val="005631BF"/>
    <w:rsid w:val="00566C17"/>
    <w:rsid w:val="00570EDF"/>
    <w:rsid w:val="005742F1"/>
    <w:rsid w:val="0057494D"/>
    <w:rsid w:val="00576162"/>
    <w:rsid w:val="005819B2"/>
    <w:rsid w:val="00582C71"/>
    <w:rsid w:val="00587558"/>
    <w:rsid w:val="00587B16"/>
    <w:rsid w:val="00594240"/>
    <w:rsid w:val="0059553E"/>
    <w:rsid w:val="005961F9"/>
    <w:rsid w:val="005A0129"/>
    <w:rsid w:val="005A0398"/>
    <w:rsid w:val="005B0B52"/>
    <w:rsid w:val="005B147D"/>
    <w:rsid w:val="005B2BE4"/>
    <w:rsid w:val="005C5899"/>
    <w:rsid w:val="005C6925"/>
    <w:rsid w:val="005D51C4"/>
    <w:rsid w:val="005E20D5"/>
    <w:rsid w:val="005F0E0C"/>
    <w:rsid w:val="005F2F2D"/>
    <w:rsid w:val="00614B5E"/>
    <w:rsid w:val="00621EFC"/>
    <w:rsid w:val="00631E5F"/>
    <w:rsid w:val="00635846"/>
    <w:rsid w:val="0064218C"/>
    <w:rsid w:val="00644DDC"/>
    <w:rsid w:val="00645F2A"/>
    <w:rsid w:val="00646CBA"/>
    <w:rsid w:val="0065025E"/>
    <w:rsid w:val="006532C7"/>
    <w:rsid w:val="00655D46"/>
    <w:rsid w:val="00656A03"/>
    <w:rsid w:val="00673A96"/>
    <w:rsid w:val="00680467"/>
    <w:rsid w:val="00680DBB"/>
    <w:rsid w:val="00681DA3"/>
    <w:rsid w:val="0068260B"/>
    <w:rsid w:val="0068463B"/>
    <w:rsid w:val="006849FD"/>
    <w:rsid w:val="0068649C"/>
    <w:rsid w:val="00691457"/>
    <w:rsid w:val="006925FE"/>
    <w:rsid w:val="006A1C4A"/>
    <w:rsid w:val="006A5A98"/>
    <w:rsid w:val="006A6156"/>
    <w:rsid w:val="006A7030"/>
    <w:rsid w:val="006A7F81"/>
    <w:rsid w:val="006B2E38"/>
    <w:rsid w:val="006B61C4"/>
    <w:rsid w:val="006C1E11"/>
    <w:rsid w:val="006C25B8"/>
    <w:rsid w:val="006C263F"/>
    <w:rsid w:val="006C2EB7"/>
    <w:rsid w:val="006C4310"/>
    <w:rsid w:val="006E1492"/>
    <w:rsid w:val="006F0F13"/>
    <w:rsid w:val="006F1181"/>
    <w:rsid w:val="00702EB5"/>
    <w:rsid w:val="00706616"/>
    <w:rsid w:val="00707DCD"/>
    <w:rsid w:val="007174B6"/>
    <w:rsid w:val="007201DD"/>
    <w:rsid w:val="00727614"/>
    <w:rsid w:val="00734B4C"/>
    <w:rsid w:val="00737A0D"/>
    <w:rsid w:val="00737DF7"/>
    <w:rsid w:val="00737EC3"/>
    <w:rsid w:val="00745639"/>
    <w:rsid w:val="0075082A"/>
    <w:rsid w:val="00753D79"/>
    <w:rsid w:val="007566E2"/>
    <w:rsid w:val="00762170"/>
    <w:rsid w:val="007638A5"/>
    <w:rsid w:val="00765204"/>
    <w:rsid w:val="00765711"/>
    <w:rsid w:val="0076660F"/>
    <w:rsid w:val="00767776"/>
    <w:rsid w:val="0078730E"/>
    <w:rsid w:val="00787474"/>
    <w:rsid w:val="00793DD5"/>
    <w:rsid w:val="00794FE0"/>
    <w:rsid w:val="0079577C"/>
    <w:rsid w:val="00796172"/>
    <w:rsid w:val="007964B1"/>
    <w:rsid w:val="007A3C74"/>
    <w:rsid w:val="007A707E"/>
    <w:rsid w:val="007B59B0"/>
    <w:rsid w:val="007B77EA"/>
    <w:rsid w:val="007C1B1A"/>
    <w:rsid w:val="007C23C0"/>
    <w:rsid w:val="007D24BB"/>
    <w:rsid w:val="007D4860"/>
    <w:rsid w:val="007E18A7"/>
    <w:rsid w:val="007E69CB"/>
    <w:rsid w:val="007F5DD5"/>
    <w:rsid w:val="0080389B"/>
    <w:rsid w:val="00807728"/>
    <w:rsid w:val="00812800"/>
    <w:rsid w:val="008331F7"/>
    <w:rsid w:val="0083612E"/>
    <w:rsid w:val="00840D1F"/>
    <w:rsid w:val="00841307"/>
    <w:rsid w:val="00843129"/>
    <w:rsid w:val="0084715B"/>
    <w:rsid w:val="00852AEA"/>
    <w:rsid w:val="008538E0"/>
    <w:rsid w:val="00861485"/>
    <w:rsid w:val="00867789"/>
    <w:rsid w:val="00867E52"/>
    <w:rsid w:val="00876DC5"/>
    <w:rsid w:val="00876FAC"/>
    <w:rsid w:val="00897421"/>
    <w:rsid w:val="008A20B1"/>
    <w:rsid w:val="008A2F0C"/>
    <w:rsid w:val="008A3B50"/>
    <w:rsid w:val="008E1373"/>
    <w:rsid w:val="008E4B01"/>
    <w:rsid w:val="008E6427"/>
    <w:rsid w:val="008F1AB7"/>
    <w:rsid w:val="008F3086"/>
    <w:rsid w:val="008F35A8"/>
    <w:rsid w:val="0091167D"/>
    <w:rsid w:val="00914436"/>
    <w:rsid w:val="00915320"/>
    <w:rsid w:val="0092104A"/>
    <w:rsid w:val="0092380D"/>
    <w:rsid w:val="009344F2"/>
    <w:rsid w:val="00935566"/>
    <w:rsid w:val="00937994"/>
    <w:rsid w:val="0094144C"/>
    <w:rsid w:val="0095009F"/>
    <w:rsid w:val="0095527B"/>
    <w:rsid w:val="00965D1D"/>
    <w:rsid w:val="0096727E"/>
    <w:rsid w:val="0097415C"/>
    <w:rsid w:val="00996CA6"/>
    <w:rsid w:val="00997F1C"/>
    <w:rsid w:val="009A1AFF"/>
    <w:rsid w:val="009A5B86"/>
    <w:rsid w:val="009B28A5"/>
    <w:rsid w:val="009B5E37"/>
    <w:rsid w:val="009C018D"/>
    <w:rsid w:val="009C1490"/>
    <w:rsid w:val="009C7675"/>
    <w:rsid w:val="009D0FA2"/>
    <w:rsid w:val="009E03B2"/>
    <w:rsid w:val="009E4545"/>
    <w:rsid w:val="009F509D"/>
    <w:rsid w:val="009F5F4D"/>
    <w:rsid w:val="00A0475D"/>
    <w:rsid w:val="00A0491F"/>
    <w:rsid w:val="00A05AB4"/>
    <w:rsid w:val="00A236D7"/>
    <w:rsid w:val="00A33499"/>
    <w:rsid w:val="00A50A8A"/>
    <w:rsid w:val="00A519D3"/>
    <w:rsid w:val="00A52ADB"/>
    <w:rsid w:val="00A61F35"/>
    <w:rsid w:val="00A67432"/>
    <w:rsid w:val="00A67D7A"/>
    <w:rsid w:val="00A7142C"/>
    <w:rsid w:val="00A747C2"/>
    <w:rsid w:val="00A75C91"/>
    <w:rsid w:val="00A81DFE"/>
    <w:rsid w:val="00A87696"/>
    <w:rsid w:val="00A9165F"/>
    <w:rsid w:val="00A94C92"/>
    <w:rsid w:val="00AA013D"/>
    <w:rsid w:val="00AA320A"/>
    <w:rsid w:val="00AB42F0"/>
    <w:rsid w:val="00AD1D23"/>
    <w:rsid w:val="00AE4A9A"/>
    <w:rsid w:val="00AE6175"/>
    <w:rsid w:val="00AF23EE"/>
    <w:rsid w:val="00AF4D1E"/>
    <w:rsid w:val="00AF7672"/>
    <w:rsid w:val="00B00963"/>
    <w:rsid w:val="00B129CA"/>
    <w:rsid w:val="00B14806"/>
    <w:rsid w:val="00B1538A"/>
    <w:rsid w:val="00B15DBD"/>
    <w:rsid w:val="00B168D4"/>
    <w:rsid w:val="00B16C7A"/>
    <w:rsid w:val="00B22DC7"/>
    <w:rsid w:val="00B27509"/>
    <w:rsid w:val="00B2780D"/>
    <w:rsid w:val="00B37F2C"/>
    <w:rsid w:val="00B41FF2"/>
    <w:rsid w:val="00B42A8C"/>
    <w:rsid w:val="00B45EAB"/>
    <w:rsid w:val="00B60C0F"/>
    <w:rsid w:val="00B71D29"/>
    <w:rsid w:val="00B77436"/>
    <w:rsid w:val="00B80808"/>
    <w:rsid w:val="00B85E9B"/>
    <w:rsid w:val="00B97D22"/>
    <w:rsid w:val="00BA02B2"/>
    <w:rsid w:val="00BA2119"/>
    <w:rsid w:val="00BA59B9"/>
    <w:rsid w:val="00BA7E55"/>
    <w:rsid w:val="00BB7DB7"/>
    <w:rsid w:val="00BC2257"/>
    <w:rsid w:val="00BC37D2"/>
    <w:rsid w:val="00BC4DC5"/>
    <w:rsid w:val="00BD0373"/>
    <w:rsid w:val="00BD0886"/>
    <w:rsid w:val="00BD4426"/>
    <w:rsid w:val="00BD4D04"/>
    <w:rsid w:val="00BE018A"/>
    <w:rsid w:val="00BE2665"/>
    <w:rsid w:val="00BE28FD"/>
    <w:rsid w:val="00BE4287"/>
    <w:rsid w:val="00BE55B5"/>
    <w:rsid w:val="00BE66C6"/>
    <w:rsid w:val="00BF028A"/>
    <w:rsid w:val="00BF0B7A"/>
    <w:rsid w:val="00C059A1"/>
    <w:rsid w:val="00C07DB8"/>
    <w:rsid w:val="00C12372"/>
    <w:rsid w:val="00C17D1B"/>
    <w:rsid w:val="00C219E8"/>
    <w:rsid w:val="00C27B24"/>
    <w:rsid w:val="00C343F8"/>
    <w:rsid w:val="00C34AF0"/>
    <w:rsid w:val="00C401D9"/>
    <w:rsid w:val="00C41C69"/>
    <w:rsid w:val="00C4376F"/>
    <w:rsid w:val="00C44FEF"/>
    <w:rsid w:val="00C517F5"/>
    <w:rsid w:val="00C67955"/>
    <w:rsid w:val="00C8245F"/>
    <w:rsid w:val="00C82C9B"/>
    <w:rsid w:val="00C85DC4"/>
    <w:rsid w:val="00C87305"/>
    <w:rsid w:val="00C91C00"/>
    <w:rsid w:val="00C97CC6"/>
    <w:rsid w:val="00CA141F"/>
    <w:rsid w:val="00CA6001"/>
    <w:rsid w:val="00CB796D"/>
    <w:rsid w:val="00CC5C3E"/>
    <w:rsid w:val="00CC6BED"/>
    <w:rsid w:val="00CD3F3A"/>
    <w:rsid w:val="00CD5F1A"/>
    <w:rsid w:val="00CF75D2"/>
    <w:rsid w:val="00D00FE1"/>
    <w:rsid w:val="00D47358"/>
    <w:rsid w:val="00D5386F"/>
    <w:rsid w:val="00D53EEE"/>
    <w:rsid w:val="00D553EC"/>
    <w:rsid w:val="00D61312"/>
    <w:rsid w:val="00D61B25"/>
    <w:rsid w:val="00D65402"/>
    <w:rsid w:val="00D67B81"/>
    <w:rsid w:val="00D74802"/>
    <w:rsid w:val="00D86D80"/>
    <w:rsid w:val="00D923EC"/>
    <w:rsid w:val="00D92FED"/>
    <w:rsid w:val="00D94942"/>
    <w:rsid w:val="00D9499E"/>
    <w:rsid w:val="00D95CB7"/>
    <w:rsid w:val="00DC360A"/>
    <w:rsid w:val="00DC3EB9"/>
    <w:rsid w:val="00DD0551"/>
    <w:rsid w:val="00DD0C89"/>
    <w:rsid w:val="00DD16F8"/>
    <w:rsid w:val="00DE0003"/>
    <w:rsid w:val="00DE2890"/>
    <w:rsid w:val="00DE33E1"/>
    <w:rsid w:val="00DE3EC2"/>
    <w:rsid w:val="00DE4B03"/>
    <w:rsid w:val="00DF2866"/>
    <w:rsid w:val="00DF3323"/>
    <w:rsid w:val="00DF4F55"/>
    <w:rsid w:val="00DF581B"/>
    <w:rsid w:val="00E02505"/>
    <w:rsid w:val="00E04E59"/>
    <w:rsid w:val="00E10E3E"/>
    <w:rsid w:val="00E15C56"/>
    <w:rsid w:val="00E163B2"/>
    <w:rsid w:val="00E21356"/>
    <w:rsid w:val="00E231EB"/>
    <w:rsid w:val="00E23E0B"/>
    <w:rsid w:val="00E242B5"/>
    <w:rsid w:val="00E24A13"/>
    <w:rsid w:val="00E30726"/>
    <w:rsid w:val="00E42DAC"/>
    <w:rsid w:val="00E52D47"/>
    <w:rsid w:val="00E53E6B"/>
    <w:rsid w:val="00E5412A"/>
    <w:rsid w:val="00E550C0"/>
    <w:rsid w:val="00E679A0"/>
    <w:rsid w:val="00E7012E"/>
    <w:rsid w:val="00E71EB3"/>
    <w:rsid w:val="00E758B9"/>
    <w:rsid w:val="00E76355"/>
    <w:rsid w:val="00E81BBB"/>
    <w:rsid w:val="00E8520F"/>
    <w:rsid w:val="00E86CF6"/>
    <w:rsid w:val="00E91D32"/>
    <w:rsid w:val="00E94314"/>
    <w:rsid w:val="00EA1D33"/>
    <w:rsid w:val="00EC1A9C"/>
    <w:rsid w:val="00EE0625"/>
    <w:rsid w:val="00EE2F86"/>
    <w:rsid w:val="00EE5981"/>
    <w:rsid w:val="00EF1AA7"/>
    <w:rsid w:val="00EF4FA4"/>
    <w:rsid w:val="00EF7C5E"/>
    <w:rsid w:val="00F1135A"/>
    <w:rsid w:val="00F236A5"/>
    <w:rsid w:val="00F243FA"/>
    <w:rsid w:val="00F25C62"/>
    <w:rsid w:val="00F309A3"/>
    <w:rsid w:val="00F36B2E"/>
    <w:rsid w:val="00F379CB"/>
    <w:rsid w:val="00F4497E"/>
    <w:rsid w:val="00F44EAB"/>
    <w:rsid w:val="00F71C1F"/>
    <w:rsid w:val="00F75B87"/>
    <w:rsid w:val="00F77966"/>
    <w:rsid w:val="00F80BD0"/>
    <w:rsid w:val="00F82FB9"/>
    <w:rsid w:val="00F860A8"/>
    <w:rsid w:val="00FA4627"/>
    <w:rsid w:val="00FA4865"/>
    <w:rsid w:val="00FA7486"/>
    <w:rsid w:val="00FB1E82"/>
    <w:rsid w:val="00FB5F1E"/>
    <w:rsid w:val="00FD08C1"/>
    <w:rsid w:val="00FD3241"/>
    <w:rsid w:val="00FD6FA5"/>
    <w:rsid w:val="00FE0AE6"/>
    <w:rsid w:val="00FE1A18"/>
    <w:rsid w:val="00FE2035"/>
    <w:rsid w:val="00FE44AC"/>
    <w:rsid w:val="00FE5C94"/>
    <w:rsid w:val="00FF23CB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BF37"/>
  <w15:chartTrackingRefBased/>
  <w15:docId w15:val="{88833C4D-EB84-4061-B702-965C3C0F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E42D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rsid w:val="00C4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C41C6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64">
    <w:name w:val="xl64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65">
    <w:name w:val="xl65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66">
    <w:name w:val="xl66"/>
    <w:basedOn w:val="Normal"/>
    <w:rsid w:val="00C41C6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C41C6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C41C6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69">
    <w:name w:val="xl69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2">
    <w:name w:val="xl72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3">
    <w:name w:val="xl73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">
    <w:name w:val="xl74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hr-HR"/>
    </w:rPr>
  </w:style>
  <w:style w:type="paragraph" w:customStyle="1" w:styleId="xl75">
    <w:name w:val="xl75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16"/>
      <w:szCs w:val="16"/>
      <w:lang w:eastAsia="hr-HR"/>
    </w:rPr>
  </w:style>
  <w:style w:type="paragraph" w:customStyle="1" w:styleId="xl76">
    <w:name w:val="xl76"/>
    <w:basedOn w:val="Normal"/>
    <w:rsid w:val="00C41C6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7">
    <w:name w:val="xl77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8">
    <w:name w:val="xl78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9">
    <w:name w:val="xl79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0">
    <w:name w:val="xl80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1">
    <w:name w:val="xl81"/>
    <w:basedOn w:val="Normal"/>
    <w:rsid w:val="00C41C6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2">
    <w:name w:val="xl82"/>
    <w:basedOn w:val="Normal"/>
    <w:rsid w:val="00C41C6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3">
    <w:name w:val="xl83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4">
    <w:name w:val="xl84"/>
    <w:basedOn w:val="Normal"/>
    <w:rsid w:val="00C41C6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5">
    <w:name w:val="xl85"/>
    <w:basedOn w:val="Normal"/>
    <w:rsid w:val="00C41C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8">
    <w:name w:val="xl88"/>
    <w:basedOn w:val="Normal"/>
    <w:rsid w:val="00C41C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9">
    <w:name w:val="xl89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0">
    <w:name w:val="xl90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1">
    <w:name w:val="xl91"/>
    <w:basedOn w:val="Normal"/>
    <w:rsid w:val="00C41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2">
    <w:name w:val="xl92"/>
    <w:basedOn w:val="Normal"/>
    <w:rsid w:val="00C41C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3">
    <w:name w:val="xl93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4">
    <w:name w:val="xl94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5">
    <w:name w:val="xl95"/>
    <w:basedOn w:val="Normal"/>
    <w:rsid w:val="00C41C69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6">
    <w:name w:val="xl96"/>
    <w:basedOn w:val="Normal"/>
    <w:rsid w:val="00C41C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7">
    <w:name w:val="xl97"/>
    <w:basedOn w:val="Normal"/>
    <w:rsid w:val="00C41C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8">
    <w:name w:val="xl98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9">
    <w:name w:val="xl99"/>
    <w:basedOn w:val="Normal"/>
    <w:rsid w:val="00C41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0">
    <w:name w:val="xl100"/>
    <w:basedOn w:val="Normal"/>
    <w:rsid w:val="00C41C6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41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1C69"/>
  </w:style>
  <w:style w:type="paragraph" w:styleId="Podnoje">
    <w:name w:val="footer"/>
    <w:basedOn w:val="Normal"/>
    <w:link w:val="PodnojeChar"/>
    <w:uiPriority w:val="99"/>
    <w:unhideWhenUsed/>
    <w:rsid w:val="00C41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41C69"/>
  </w:style>
  <w:style w:type="character" w:styleId="Hiperveza">
    <w:name w:val="Hyperlink"/>
    <w:basedOn w:val="Zadanifontodlomka"/>
    <w:uiPriority w:val="99"/>
    <w:semiHidden/>
    <w:unhideWhenUsed/>
    <w:rsid w:val="00490E4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90E4C"/>
    <w:rPr>
      <w:color w:val="954F72"/>
      <w:u w:val="single"/>
    </w:rPr>
  </w:style>
  <w:style w:type="paragraph" w:customStyle="1" w:styleId="font5">
    <w:name w:val="font5"/>
    <w:basedOn w:val="Normal"/>
    <w:rsid w:val="0049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hr-HR"/>
    </w:rPr>
  </w:style>
  <w:style w:type="paragraph" w:customStyle="1" w:styleId="xl101">
    <w:name w:val="xl101"/>
    <w:basedOn w:val="Normal"/>
    <w:rsid w:val="00490E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2">
    <w:name w:val="xl102"/>
    <w:basedOn w:val="Normal"/>
    <w:rsid w:val="00490E4C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3">
    <w:name w:val="xl103"/>
    <w:basedOn w:val="Normal"/>
    <w:rsid w:val="00490E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4">
    <w:name w:val="xl104"/>
    <w:basedOn w:val="Normal"/>
    <w:rsid w:val="00490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5">
    <w:name w:val="xl105"/>
    <w:basedOn w:val="Normal"/>
    <w:rsid w:val="00490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231E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231E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231E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231E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231E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3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31E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45EAB"/>
    <w:pPr>
      <w:spacing w:after="200" w:line="276" w:lineRule="auto"/>
      <w:ind w:left="720"/>
      <w:contextualSpacing/>
    </w:pPr>
  </w:style>
  <w:style w:type="character" w:customStyle="1" w:styleId="tlid-translation">
    <w:name w:val="tlid-translation"/>
    <w:basedOn w:val="Zadanifontodlomka"/>
    <w:rsid w:val="00B45EAB"/>
  </w:style>
  <w:style w:type="paragraph" w:styleId="Revizija">
    <w:name w:val="Revision"/>
    <w:hidden/>
    <w:uiPriority w:val="99"/>
    <w:semiHidden/>
    <w:rsid w:val="00FA4865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84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7E18A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E18A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E18A7"/>
    <w:rPr>
      <w:vertAlign w:val="superscript"/>
    </w:rPr>
  </w:style>
  <w:style w:type="paragraph" w:customStyle="1" w:styleId="Default">
    <w:name w:val="Default"/>
    <w:rsid w:val="007E18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E42DA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E42DAC"/>
    <w:rPr>
      <w:b/>
      <w:bCs/>
    </w:rPr>
  </w:style>
  <w:style w:type="character" w:customStyle="1" w:styleId="xmsofootnotereference">
    <w:name w:val="x_msofootnotereference"/>
    <w:basedOn w:val="Zadanifontodlomka"/>
    <w:rsid w:val="0020618C"/>
  </w:style>
  <w:style w:type="paragraph" w:customStyle="1" w:styleId="title-bold">
    <w:name w:val="title-bold"/>
    <w:basedOn w:val="Normal"/>
    <w:rsid w:val="003E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E0250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3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iopa.europa.eu/publications/eiopa-and-ecb-joint-paper-towards-european-system-natural-catastrophe-risk-management_en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image" Target="http://www.mvp.hr/mvprh-www/grafika/periodika/grb-hr.g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AZJMDCZ6QSYZ-1849078857-44544</_dlc_DocId>
    <_dlc_DocIdUrl xmlns="a494813a-d0d8-4dad-94cb-0d196f36ba15">
      <Url>https://ekoordinacije.vlada.hr/koordinacija-gospodarstvo/_layouts/15/DocIdRedir.aspx?ID=AZJMDCZ6QSYZ-1849078857-44544</Url>
      <Description>AZJMDCZ6QSYZ-1849078857-44544</Description>
    </_dlc_DocIdUrl>
  </documentManagement>
</p:properties>
</file>

<file path=customXml/itemProps1.xml><?xml version="1.0" encoding="utf-8"?>
<ds:datastoreItem xmlns:ds="http://schemas.openxmlformats.org/officeDocument/2006/customXml" ds:itemID="{BF50C3A7-7204-4D29-BDF0-75C5BEFD0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78F74B-5FA5-4CC6-BC99-7A5380DEEDE5}"/>
</file>

<file path=customXml/itemProps3.xml><?xml version="1.0" encoding="utf-8"?>
<ds:datastoreItem xmlns:ds="http://schemas.openxmlformats.org/officeDocument/2006/customXml" ds:itemID="{B348EFA8-8272-45BF-BC07-3C8C40A6647B}"/>
</file>

<file path=customXml/itemProps4.xml><?xml version="1.0" encoding="utf-8"?>
<ds:datastoreItem xmlns:ds="http://schemas.openxmlformats.org/officeDocument/2006/customXml" ds:itemID="{00FC92FE-75D1-4385-BFD4-BB884531BF22}"/>
</file>

<file path=customXml/itemProps5.xml><?xml version="1.0" encoding="utf-8"?>
<ds:datastoreItem xmlns:ds="http://schemas.openxmlformats.org/officeDocument/2006/customXml" ds:itemID="{CDF37BD5-2DB1-41CD-AAEA-EEE6889211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19</Pages>
  <Words>3651</Words>
  <Characters>20812</Characters>
  <Application>Microsoft Office Word</Application>
  <DocSecurity>0</DocSecurity>
  <Lines>173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Pavić</dc:creator>
  <cp:keywords/>
  <dc:description/>
  <cp:lastModifiedBy>Jelena Korica</cp:lastModifiedBy>
  <cp:revision>34</cp:revision>
  <cp:lastPrinted>2025-03-03T10:56:00Z</cp:lastPrinted>
  <dcterms:created xsi:type="dcterms:W3CDTF">2025-03-03T08:48:00Z</dcterms:created>
  <dcterms:modified xsi:type="dcterms:W3CDTF">2025-03-03T11:01:00Z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ec0f4325-a80c-4baa-9c24-8505917fd61a</vt:lpwstr>
  </property>
</Properties>
</file>